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120"/>
      </w:pPr>
      <w:r>
        <w:rPr>
          <w:b/>
          <w:bCs/>
          <w:color w:val="2563EB"/>
          <w:spacing w:val="20"/>
          <w:sz w:val="18"/>
          <w:szCs w:val="18"/>
        </w:rPr>
        <w:t xml:space="preserve">VORLAGE · VERORDNUNG (EU) 2024/1689</w:t>
      </w:r>
    </w:p>
    <w:p>
      <w:pPr>
        <w:spacing w:after="80"/>
      </w:pPr>
      <w:r>
        <w:rPr>
          <w:b/>
          <w:bCs/>
          <w:color w:val="16181D"/>
          <w:sz w:val="60"/>
          <w:szCs w:val="60"/>
        </w:rPr>
        <w:t xml:space="preserve">Technische Dokumentation</w:t>
      </w:r>
    </w:p>
    <w:p>
      <w:pPr>
        <w:spacing w:after="480"/>
      </w:pPr>
      <w:r>
        <w:rPr>
          <w:color w:val="6B7280"/>
          <w:sz w:val="28"/>
          <w:szCs w:val="28"/>
        </w:rPr>
        <w:t xml:space="preserve">nach Art. 11 und Anhang IV der KI-Verordnung</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574"/>
        <w:gridCol w:w="5832"/>
      </w:tblGrid>
      <w:tr>
        <w:trPr>
          <w:tblHeader/>
        </w:trPr>
        <w:tc>
          <w:tcPr>
            <w:tcW w:type="pct" w:w="1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Angabe</w:t>
            </w:r>
          </w:p>
        </w:tc>
        <w:tc>
          <w:tcPr>
            <w:tcW w:type="pct" w:w="3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Inhalt</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KI-System (Bezeichnung)</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des Systems]</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Systemversion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[z. B. 2.3.0]</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Anbieter (Name, Anschrift)</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[Unternehmen, Straße, PLZ Ort, Land]</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Zweckbestimmung (Kurzfassung)</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[ein Satz]</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Einstufung</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[z. B. Hochrisiko nach Anhang III Nr. 4 Buchst. a]</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Dokumentversion</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[z. B. 1.0]</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Stand</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[TT.MM.JJJJ]</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Verantwortlich für das Dokument</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Funktion]</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Fachlich beteiligt</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[Namen, Funktionen]</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Freigegeben durch</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 Funktion, Datum]</w:t>
            </w:r>
          </w:p>
        </w:tc>
      </w:tr>
      <w:tr>
        <w:tc>
          <w:tcPr>
            <w:tcW w:type="pct" w:w="19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Vertraulichkeit</w:t>
            </w:r>
          </w:p>
        </w:tc>
        <w:tc>
          <w:tcPr>
            <w:tcW w:type="pct" w:w="3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[intern / vertraulich]</w:t>
            </w:r>
          </w:p>
        </w:tc>
      </w:tr>
    </w:tbl>
    <w:p>
      <w:pPr>
        <w:spacing w:after="3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06"/>
      </w:tblGrid>
      <w:tr>
        <w:tc>
          <w:tcPr>
            <w:tcBorders>
              <w:top w:val="single" w:color="F59E0B" w:sz="6"/>
              <w:left w:val="single" w:color="F59E0B" w:sz="24"/>
              <w:bottom w:val="single" w:color="F59E0B" w:sz="6"/>
              <w:right w:val="single" w:color="F59E0B" w:sz="6"/>
            </w:tcBorders>
            <w:shd w:fill="FEF3C7" w:color="auto" w:val="clear"/>
            <w:tcMar>
              <w:top w:type="dxa" w:w="140"/>
              <w:left w:type="dxa" w:w="180"/>
              <w:bottom w:type="dxa" w:w="140"/>
              <w:right w:type="dxa" w:w="180"/>
            </w:tcMar>
          </w:tcPr>
          <w:p>
            <w:pPr>
              <w:spacing w:after="60"/>
            </w:pPr>
            <w:r>
              <w:rPr>
                <w:b/>
                <w:bCs/>
                <w:color w:val="92400E"/>
              </w:rPr>
              <w:t xml:space="preserve">Hinweis</w:t>
            </w:r>
          </w:p>
          <w:p>
            <w:r>
              <w:rPr>
                <w:color w:val="78350F"/>
                <w:sz w:val="19"/>
                <w:szCs w:val="19"/>
              </w:rPr>
              <w:t xml:space="preserve">Diese Vorlage ist eine Arbeitshilfe von SimpleAct und keine Rechtsberatung. Sie gibt die Gliederung von Anhang IV sinngemäß wieder. Maßgeblich ist allein der Wortlaut von Anhang IV der Verordnung (EU) 2024/1689 in der jeweils geltenden Fassung (zuletzt geändert durch die Verordnung (EU) 2026/1744). Grau-kursive Ausfüllhinweise vor der Freigabe löschen.</w:t>
            </w:r>
          </w:p>
        </w:tc>
      </w:tr>
    </w:tbl>
    <w:p>
      <w:pPr>
        <w:spacing w:after="160"/>
      </w:pPr>
    </w:p>
    <w:p>
      <w:r>
        <w:rPr>
          <w:color w:val="6B7280"/>
          <w:sz w:val="17"/>
          <w:szCs w:val="17"/>
        </w:rPr>
        <w:t xml:space="preserve">Vorlagenstand: 3. Oktober 2026 · simpleact.de/ai-act-documentation</w:t>
      </w:r>
    </w:p>
    <w:p>
      <w:r>
        <w:br w:type="page"/>
      </w:r>
    </w:p>
    <w:p>
      <w:pPr>
        <w:pStyle w:val="Title"/>
      </w:pPr>
      <w:r>
        <w:t xml:space="preserve">Änderungshistorie</w:t>
      </w:r>
    </w:p>
    <w:p>
      <w:pPr>
        <w:spacing w:after="80"/>
      </w:pPr>
      <w:r>
        <w:rPr>
          <w:i/>
          <w:iCs/>
          <w:color w:val="6B7280"/>
          <w:sz w:val="19"/>
          <w:szCs w:val="19"/>
        </w:rPr>
        <w:t xml:space="preserve">Jede Fassung, die ausgeliefert, einer Behörde vorgelegt oder einer Konformitätsbewertung zugrunde gelegt wird, bekommt eine eigene Zeile. Bei wesentlichen Änderungen (Abschnitt 6) zusätzlich vermerken, ob eine neue Konformitätsbewertung nötig war.</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1129"/>
        <w:gridCol w:w="1317"/>
        <w:gridCol w:w="2822"/>
        <w:gridCol w:w="1505"/>
        <w:gridCol w:w="1693"/>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Datum</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Abschnitte</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Änderung</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Auslöser</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Autor / Freigabe</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0.1</w:t>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[TT.MM.JJJJ]</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alle</w:t>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Erstfassung</w:t>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Entwicklungsstart</w:t>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[Name]</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400"/>
      </w:pPr>
    </w:p>
    <w:p>
      <w:pPr>
        <w:pStyle w:val="Title"/>
      </w:pPr>
      <w:r>
        <w:t xml:space="preserve">Inhaltsverzeichnis</w:t>
      </w:r>
    </w:p>
    <w:p>
      <w:pPr>
        <w:spacing w:after="80"/>
      </w:pPr>
      <w:r>
        <w:rPr>
          <w:i/>
          <w:iCs/>
          <w:color w:val="6B7280"/>
          <w:sz w:val="19"/>
          <w:szCs w:val="19"/>
        </w:rPr>
        <w:t xml:space="preserve">Das Verzeichnis ist ein Word-Feld. Nach dem Ausfüllen: Rechtsklick → „Felder aktualisieren“ → „Gesamtes Verzeichnis aktualisieren“.</w:t>
      </w:r>
    </w:p>
    <w:sdt>
      <w:sdtPr>
        <w:alias w:val="Inhaltsverzeichnis"/>
      </w:sdtPr>
      <w:sdtContent>
        <w:p>
          <w:pPr>
            <w:pStyle w:val="TOC1"/>
            <w:tabs>
              <w:tab w:val="clear" w:pos="9026"/>
              <w:tab w:val="right" w:pos="9025" w:leader="dot"/>
            </w:tabs>
          </w:pPr>
          <w:r>
            <w:fldChar w:fldCharType="begin" w:dirty="true"/>
            <w:instrText xml:space="preserve">TOC \h \o "1-2"</w:instrText>
            <w:fldChar w:fldCharType="separate"/>
          </w:r>
          <w:r>
            <w:t xml:space="default">0 Hinweise zur Verwendung</w:t>
            <w:tab/>
            <w:t xml:space="default"/>
          </w:r>
        </w:p>
        <w:p>
          <w:pPr>
            <w:pStyle w:val="TOC1"/>
            <w:tabs>
              <w:tab w:val="clear" w:pos="9026"/>
              <w:tab w:val="right" w:pos="9025" w:leader="dot"/>
            </w:tabs>
          </w:pPr>
          <w:r>
            <w:t xml:space="default">1 Allgemeine Beschreibung des KI-Systems</w:t>
            <w:tab/>
            <w:t xml:space="default"/>
          </w:r>
        </w:p>
        <w:p>
          <w:pPr>
            <w:pStyle w:val="TOC2"/>
            <w:tabs>
              <w:tab w:val="clear" w:pos="8786"/>
              <w:tab w:val="right" w:pos="9025" w:leader="dot"/>
            </w:tabs>
          </w:pPr>
          <w:r>
            <w:t xml:space="default">1.1 Zweckbestimmung, Anbieter und Version</w:t>
            <w:tab/>
            <w:t xml:space="default"/>
          </w:r>
        </w:p>
        <w:p>
          <w:pPr>
            <w:pStyle w:val="TOC2"/>
            <w:tabs>
              <w:tab w:val="clear" w:pos="8786"/>
              <w:tab w:val="right" w:pos="9025" w:leader="dot"/>
            </w:tabs>
          </w:pPr>
          <w:r>
            <w:t xml:space="default">1.2 Interaktion mit Hardware, Software und anderen KI-Systemen</w:t>
            <w:tab/>
            <w:t xml:space="default"/>
          </w:r>
        </w:p>
        <w:p>
          <w:pPr>
            <w:pStyle w:val="TOC2"/>
            <w:tabs>
              <w:tab w:val="clear" w:pos="8786"/>
              <w:tab w:val="right" w:pos="9025" w:leader="dot"/>
            </w:tabs>
          </w:pPr>
          <w:r>
            <w:t xml:space="default">1.3 Software- und Firmwareversionen, Update-Anforderungen</w:t>
            <w:tab/>
            <w:t xml:space="default"/>
          </w:r>
        </w:p>
        <w:p>
          <w:pPr>
            <w:pStyle w:val="TOC2"/>
            <w:tabs>
              <w:tab w:val="clear" w:pos="8786"/>
              <w:tab w:val="right" w:pos="9025" w:leader="dot"/>
            </w:tabs>
          </w:pPr>
          <w:r>
            <w:t xml:space="default">1.4 Formen des Inverkehrbringens bzw. der Inbetriebnahme</w:t>
            <w:tab/>
            <w:t xml:space="default"/>
          </w:r>
        </w:p>
        <w:p>
          <w:pPr>
            <w:pStyle w:val="TOC2"/>
            <w:tabs>
              <w:tab w:val="clear" w:pos="8786"/>
              <w:tab w:val="right" w:pos="9025" w:leader="dot"/>
            </w:tabs>
          </w:pPr>
          <w:r>
            <w:t xml:space="default">1.5 Hardware, auf der das System laufen soll</w:t>
            <w:tab/>
            <w:t xml:space="default"/>
          </w:r>
        </w:p>
        <w:p>
          <w:pPr>
            <w:pStyle w:val="TOC2"/>
            <w:tabs>
              <w:tab w:val="clear" w:pos="8786"/>
              <w:tab w:val="right" w:pos="9025" w:leader="dot"/>
            </w:tabs>
          </w:pPr>
          <w:r>
            <w:t xml:space="default">1.6 Abbildungen (falls Bestandteil eines Produkts)</w:t>
            <w:tab/>
            <w:t xml:space="default"/>
          </w:r>
        </w:p>
        <w:p>
          <w:pPr>
            <w:pStyle w:val="TOC2"/>
            <w:tabs>
              <w:tab w:val="clear" w:pos="8786"/>
              <w:tab w:val="right" w:pos="9025" w:leader="dot"/>
            </w:tabs>
          </w:pPr>
          <w:r>
            <w:t xml:space="default">1.7 Benutzeroberfläche für den Betreiber</w:t>
            <w:tab/>
            <w:t xml:space="default"/>
          </w:r>
        </w:p>
        <w:p>
          <w:pPr>
            <w:pStyle w:val="TOC2"/>
            <w:tabs>
              <w:tab w:val="clear" w:pos="8786"/>
              <w:tab w:val="right" w:pos="9025" w:leader="dot"/>
            </w:tabs>
          </w:pPr>
          <w:r>
            <w:t xml:space="default">1.8 Betriebsanleitung für Betreiber</w:t>
            <w:tab/>
            <w:t xml:space="default"/>
          </w:r>
        </w:p>
        <w:p>
          <w:pPr>
            <w:pStyle w:val="TOC1"/>
            <w:tabs>
              <w:tab w:val="clear" w:pos="9026"/>
              <w:tab w:val="right" w:pos="9025" w:leader="dot"/>
            </w:tabs>
          </w:pPr>
          <w:r>
            <w:t xml:space="default">2 Bestandteile und Entwicklungsprozess</w:t>
            <w:tab/>
            <w:t xml:space="default"/>
          </w:r>
        </w:p>
        <w:p>
          <w:pPr>
            <w:pStyle w:val="TOC2"/>
            <w:tabs>
              <w:tab w:val="clear" w:pos="8786"/>
              <w:tab w:val="right" w:pos="9025" w:leader="dot"/>
            </w:tabs>
          </w:pPr>
          <w:r>
            <w:t xml:space="default">2.1 Entwicklungsmethoden und -schritte</w:t>
            <w:tab/>
            <w:t xml:space="default"/>
          </w:r>
        </w:p>
        <w:p>
          <w:pPr>
            <w:pStyle w:val="TOC2"/>
            <w:tabs>
              <w:tab w:val="clear" w:pos="8786"/>
              <w:tab w:val="right" w:pos="9025" w:leader="dot"/>
            </w:tabs>
          </w:pPr>
          <w:r>
            <w:t xml:space="default">2.2 Design-Spezifikationen</w:t>
            <w:tab/>
            <w:t xml:space="default"/>
          </w:r>
        </w:p>
        <w:p>
          <w:pPr>
            <w:pStyle w:val="TOC2"/>
            <w:tabs>
              <w:tab w:val="clear" w:pos="8786"/>
              <w:tab w:val="right" w:pos="9025" w:leader="dot"/>
            </w:tabs>
          </w:pPr>
          <w:r>
            <w:t xml:space="default">2.3 Systemarchitektur und Rechenressourcen</w:t>
            <w:tab/>
            <w:t xml:space="default"/>
          </w:r>
        </w:p>
        <w:p>
          <w:pPr>
            <w:pStyle w:val="TOC2"/>
            <w:tabs>
              <w:tab w:val="clear" w:pos="8786"/>
              <w:tab w:val="right" w:pos="9025" w:leader="dot"/>
            </w:tabs>
          </w:pPr>
          <w:r>
            <w:t xml:space="default">2.4 Datenanforderungen und Datenblätter</w:t>
            <w:tab/>
            <w:t xml:space="default"/>
          </w:r>
        </w:p>
        <w:p>
          <w:pPr>
            <w:pStyle w:val="TOC2"/>
            <w:tabs>
              <w:tab w:val="clear" w:pos="8786"/>
              <w:tab w:val="right" w:pos="9025" w:leader="dot"/>
            </w:tabs>
          </w:pPr>
          <w:r>
            <w:t xml:space="default">2.5 Bewertung der Maßnahmen zur menschlichen Aufsicht (Art. 14)</w:t>
            <w:tab/>
            <w:t xml:space="default"/>
          </w:r>
        </w:p>
        <w:p>
          <w:pPr>
            <w:pStyle w:val="TOC2"/>
            <w:tabs>
              <w:tab w:val="clear" w:pos="8786"/>
              <w:tab w:val="right" w:pos="9025" w:leader="dot"/>
            </w:tabs>
          </w:pPr>
          <w:r>
            <w:t xml:space="default">2.6 Vorab festgelegte Änderungen</w:t>
            <w:tab/>
            <w:t xml:space="default"/>
          </w:r>
        </w:p>
        <w:p>
          <w:pPr>
            <w:pStyle w:val="TOC2"/>
            <w:tabs>
              <w:tab w:val="clear" w:pos="8786"/>
              <w:tab w:val="right" w:pos="9025" w:leader="dot"/>
            </w:tabs>
          </w:pPr>
          <w:r>
            <w:t xml:space="default">2.7 Validierungs- und Testverfahren</w:t>
            <w:tab/>
            <w:t xml:space="default"/>
          </w:r>
        </w:p>
        <w:p>
          <w:pPr>
            <w:pStyle w:val="TOC2"/>
            <w:tabs>
              <w:tab w:val="clear" w:pos="8786"/>
              <w:tab w:val="right" w:pos="9025" w:leader="dot"/>
            </w:tabs>
          </w:pPr>
          <w:r>
            <w:t xml:space="default">2.8 Cybersicherheitsmaßnahmen</w:t>
            <w:tab/>
            <w:t xml:space="default"/>
          </w:r>
        </w:p>
        <w:p>
          <w:pPr>
            <w:pStyle w:val="TOC1"/>
            <w:tabs>
              <w:tab w:val="clear" w:pos="9026"/>
              <w:tab w:val="right" w:pos="9025" w:leader="dot"/>
            </w:tabs>
          </w:pPr>
          <w:r>
            <w:t xml:space="default">3 Überwachung, Funktionsweise und Kontrolle</w:t>
            <w:tab/>
            <w:t xml:space="default"/>
          </w:r>
        </w:p>
        <w:p>
          <w:pPr>
            <w:pStyle w:val="TOC2"/>
            <w:tabs>
              <w:tab w:val="clear" w:pos="8786"/>
              <w:tab w:val="right" w:pos="9025" w:leader="dot"/>
            </w:tabs>
          </w:pPr>
          <w:r>
            <w:t xml:space="default">3.1 Fähigkeiten und Leistungsgrenzen</w:t>
            <w:tab/>
            <w:t xml:space="default"/>
          </w:r>
        </w:p>
        <w:p>
          <w:pPr>
            <w:pStyle w:val="TOC2"/>
            <w:tabs>
              <w:tab w:val="clear" w:pos="8786"/>
              <w:tab w:val="right" w:pos="9025" w:leader="dot"/>
            </w:tabs>
          </w:pPr>
          <w:r>
            <w:t xml:space="default">3.2 Vorhersehbare unbeabsichtigte Ergebnisse und Risikoquellen</w:t>
            <w:tab/>
            <w:t xml:space="default"/>
          </w:r>
        </w:p>
        <w:p>
          <w:pPr>
            <w:pStyle w:val="TOC2"/>
            <w:tabs>
              <w:tab w:val="clear" w:pos="8786"/>
              <w:tab w:val="right" w:pos="9025" w:leader="dot"/>
            </w:tabs>
          </w:pPr>
          <w:r>
            <w:t xml:space="default">3.3 Maßnahmen zur menschlichen Aufsicht</w:t>
            <w:tab/>
            <w:t xml:space="default"/>
          </w:r>
        </w:p>
        <w:p>
          <w:pPr>
            <w:pStyle w:val="TOC2"/>
            <w:tabs>
              <w:tab w:val="clear" w:pos="8786"/>
              <w:tab w:val="right" w:pos="9025" w:leader="dot"/>
            </w:tabs>
          </w:pPr>
          <w:r>
            <w:t xml:space="default">3.4 Spezifikationen der Eingabedaten</w:t>
            <w:tab/>
            <w:t xml:space="default"/>
          </w:r>
        </w:p>
        <w:p>
          <w:pPr>
            <w:pStyle w:val="TOC1"/>
            <w:tabs>
              <w:tab w:val="clear" w:pos="9026"/>
              <w:tab w:val="right" w:pos="9025" w:leader="dot"/>
            </w:tabs>
          </w:pPr>
          <w:r>
            <w:t xml:space="default">4 Eignung der Leistungskennzahlen</w:t>
            <w:tab/>
            <w:t xml:space="default"/>
          </w:r>
        </w:p>
        <w:p>
          <w:pPr>
            <w:pStyle w:val="TOC2"/>
            <w:tabs>
              <w:tab w:val="clear" w:pos="8786"/>
              <w:tab w:val="right" w:pos="9025" w:leader="dot"/>
            </w:tabs>
          </w:pPr>
          <w:r>
            <w:t xml:space="default">4.1 Kennzahlen und Begründung</w:t>
            <w:tab/>
            <w:t xml:space="default"/>
          </w:r>
        </w:p>
        <w:p>
          <w:pPr>
            <w:pStyle w:val="TOC1"/>
            <w:tabs>
              <w:tab w:val="clear" w:pos="9026"/>
              <w:tab w:val="right" w:pos="9025" w:leader="dot"/>
            </w:tabs>
          </w:pPr>
          <w:r>
            <w:t xml:space="default">5 Risikomanagementsystem (Art. 9)</w:t>
            <w:tab/>
            <w:t xml:space="default"/>
          </w:r>
        </w:p>
        <w:p>
          <w:pPr>
            <w:pStyle w:val="TOC2"/>
            <w:tabs>
              <w:tab w:val="clear" w:pos="8786"/>
              <w:tab w:val="right" w:pos="9025" w:leader="dot"/>
            </w:tabs>
          </w:pPr>
          <w:r>
            <w:t xml:space="default">5.1 Prozess und Verantwortlichkeiten</w:t>
            <w:tab/>
            <w:t xml:space="default"/>
          </w:r>
        </w:p>
        <w:p>
          <w:pPr>
            <w:pStyle w:val="TOC2"/>
            <w:tabs>
              <w:tab w:val="clear" w:pos="8786"/>
              <w:tab w:val="right" w:pos="9025" w:leader="dot"/>
            </w:tabs>
          </w:pPr>
          <w:r>
            <w:t xml:space="default">5.2 Risikoregister (Auszug oder Verweis)</w:t>
            <w:tab/>
            <w:t xml:space="default"/>
          </w:r>
        </w:p>
        <w:p>
          <w:pPr>
            <w:pStyle w:val="TOC2"/>
            <w:tabs>
              <w:tab w:val="clear" w:pos="8786"/>
              <w:tab w:val="right" w:pos="9025" w:leader="dot"/>
            </w:tabs>
          </w:pPr>
          <w:r>
            <w:t xml:space="default">5.3 Tests zur Risikominderung</w:t>
            <w:tab/>
            <w:t xml:space="default"/>
          </w:r>
        </w:p>
        <w:p>
          <w:pPr>
            <w:pStyle w:val="TOC1"/>
            <w:tabs>
              <w:tab w:val="clear" w:pos="9026"/>
              <w:tab w:val="right" w:pos="9025" w:leader="dot"/>
            </w:tabs>
          </w:pPr>
          <w:r>
            <w:t xml:space="default">6 Änderungen über den Lebenszyklus</w:t>
            <w:tab/>
            <w:t xml:space="default"/>
          </w:r>
        </w:p>
        <w:p>
          <w:pPr>
            <w:pStyle w:val="TOC2"/>
            <w:tabs>
              <w:tab w:val="clear" w:pos="8786"/>
              <w:tab w:val="right" w:pos="9025" w:leader="dot"/>
            </w:tabs>
          </w:pPr>
          <w:r>
            <w:t xml:space="default">6.1 Änderungsverzeichnis</w:t>
            <w:tab/>
            <w:t xml:space="default"/>
          </w:r>
        </w:p>
        <w:p>
          <w:pPr>
            <w:pStyle w:val="TOC1"/>
            <w:tabs>
              <w:tab w:val="clear" w:pos="9026"/>
              <w:tab w:val="right" w:pos="9025" w:leader="dot"/>
            </w:tabs>
          </w:pPr>
          <w:r>
            <w:t xml:space="default">7 Angewandte harmonisierte Normen und andere Lösungen</w:t>
            <w:tab/>
            <w:t xml:space="default"/>
          </w:r>
        </w:p>
        <w:p>
          <w:pPr>
            <w:pStyle w:val="TOC2"/>
            <w:tabs>
              <w:tab w:val="clear" w:pos="8786"/>
              <w:tab w:val="right" w:pos="9025" w:leader="dot"/>
            </w:tabs>
          </w:pPr>
          <w:r>
            <w:t xml:space="default">7.1 Normen und Spezifikationen</w:t>
            <w:tab/>
            <w:t xml:space="default"/>
          </w:r>
        </w:p>
        <w:p>
          <w:pPr>
            <w:pStyle w:val="TOC2"/>
            <w:tabs>
              <w:tab w:val="clear" w:pos="8786"/>
              <w:tab w:val="right" w:pos="9025" w:leader="dot"/>
            </w:tabs>
          </w:pPr>
          <w:r>
            <w:t xml:space="default">7.2 Lösungen ohne harmonisierte Norm</w:t>
            <w:tab/>
            <w:t xml:space="default"/>
          </w:r>
        </w:p>
        <w:p>
          <w:pPr>
            <w:pStyle w:val="TOC1"/>
            <w:tabs>
              <w:tab w:val="clear" w:pos="9026"/>
              <w:tab w:val="right" w:pos="9025" w:leader="dot"/>
            </w:tabs>
          </w:pPr>
          <w:r>
            <w:t xml:space="default">8 EU-Konformitätserklärung (Art. 47)</w:t>
            <w:tab/>
            <w:t xml:space="default"/>
          </w:r>
        </w:p>
        <w:p>
          <w:pPr>
            <w:pStyle w:val="TOC2"/>
            <w:tabs>
              <w:tab w:val="clear" w:pos="8786"/>
              <w:tab w:val="right" w:pos="9025" w:leader="dot"/>
            </w:tabs>
          </w:pPr>
          <w:r>
            <w:t xml:space="default">8.1 Kopie der Konformitätserklärung</w:t>
            <w:tab/>
            <w:t xml:space="default"/>
          </w:r>
        </w:p>
        <w:p>
          <w:pPr>
            <w:pStyle w:val="TOC1"/>
            <w:tabs>
              <w:tab w:val="clear" w:pos="9026"/>
              <w:tab w:val="right" w:pos="9025" w:leader="dot"/>
            </w:tabs>
          </w:pPr>
          <w:r>
            <w:t xml:space="default">9 Beobachtung nach dem Inverkehrbringen (Art. 72)</w:t>
            <w:tab/>
            <w:t xml:space="default"/>
          </w:r>
        </w:p>
        <w:p>
          <w:pPr>
            <w:pStyle w:val="TOC2"/>
            <w:tabs>
              <w:tab w:val="clear" w:pos="8786"/>
              <w:tab w:val="right" w:pos="9025" w:leader="dot"/>
            </w:tabs>
          </w:pPr>
          <w:r>
            <w:t xml:space="default">9.1 System zur Beobachtung</w:t>
            <w:tab/>
            <w:t xml:space="default"/>
          </w:r>
        </w:p>
        <w:p>
          <w:pPr>
            <w:pStyle w:val="TOC2"/>
            <w:tabs>
              <w:tab w:val="clear" w:pos="8786"/>
              <w:tab w:val="right" w:pos="9025" w:leader="dot"/>
            </w:tabs>
          </w:pPr>
          <w:r>
            <w:t xml:space="default">9.2 Plan zur Beobachtung nach dem Inverkehrbringen</w:t>
            <w:tab/>
            <w:t xml:space="default"/>
          </w:r>
        </w:p>
        <w:p>
          <w:pPr>
            <w:pStyle w:val="TOC1"/>
            <w:tabs>
              <w:tab w:val="clear" w:pos="9026"/>
              <w:tab w:val="right" w:pos="9025" w:leader="dot"/>
            </w:tabs>
          </w:pPr>
          <w:r>
            <w:t xml:space="default">Anlagenverzeichnis</w:t>
            <w:tab/>
            <w:t xml:space="default"/>
          </w:r>
          <w:r>
            <w:fldChar w:fldCharType="end"/>
          </w:r>
        </w:p>
      </w:sdtContent>
    </w:sdt>
    <w:p>
      <w:r>
        <w:br w:type="page"/>
      </w:r>
    </w:p>
    <w:p>
      <w:pPr>
        <w:pStyle w:val="Heading1"/>
      </w:pPr>
      <w:r>
        <w:t xml:space="preserve">0 Hinweise zur Verwendung</w:t>
      </w:r>
    </w:p>
    <w:p>
      <w:pPr>
        <w:pStyle w:val="ListParagraph"/>
        <w:numPr>
          <w:ilvl w:val="0"/>
          <w:numId w:val="1"/>
        </w:numPr>
        <w:spacing w:after="100"/>
      </w:pPr>
      <w:r>
        <w:rPr>
          <w:sz w:val="20"/>
          <w:szCs w:val="20"/>
        </w:rPr>
        <w:t xml:space="preserve">Wer: Die technische Dokumentation erstellt der Anbieter des Hochrisiko-KI-Systems, bevor das System in Verkehr gebracht oder in Betrieb genommen wird, und hält sie danach aktuell (Art. 11 Abs. 1). Betreiber erstellen keine technische Dokumentation, sollten aber die Unterlagen des Anbieters anfordern.</w:t>
      </w:r>
    </w:p>
    <w:p>
      <w:pPr>
        <w:pStyle w:val="ListParagraph"/>
        <w:numPr>
          <w:ilvl w:val="0"/>
          <w:numId w:val="1"/>
        </w:numPr>
        <w:spacing w:after="100"/>
      </w:pPr>
      <w:r>
        <w:rPr>
          <w:sz w:val="20"/>
          <w:szCs w:val="20"/>
        </w:rPr>
        <w:t xml:space="preserve">Umfang: Die neun Abschnitte unten folgen Anhang IV. Wo ein Punkt nicht zutrifft, nicht löschen, sondern kurz begründen, warum er nicht einschlägig ist.</w:t>
      </w:r>
    </w:p>
    <w:p>
      <w:pPr>
        <w:pStyle w:val="ListParagraph"/>
        <w:numPr>
          <w:ilvl w:val="0"/>
          <w:numId w:val="1"/>
        </w:numPr>
        <w:spacing w:after="100"/>
      </w:pPr>
      <w:r>
        <w:rPr>
          <w:sz w:val="20"/>
          <w:szCs w:val="20"/>
        </w:rPr>
        <w:t xml:space="preserve">KMU und Start-ups dürfen die Angaben in vereinfachter Form bereitstellen; die Kommission stellt dafür ein vereinfachtes Formular bereit. Mit dem Digital Omnibus (VO (EU) 2026/1744) werden Erleichterungen auf kleine Mid-Caps ausgeweitet – Anwendungsbereich im Einzelfall prüfen.</w:t>
      </w:r>
    </w:p>
    <w:p>
      <w:pPr>
        <w:pStyle w:val="ListParagraph"/>
        <w:numPr>
          <w:ilvl w:val="0"/>
          <w:numId w:val="1"/>
        </w:numPr>
        <w:spacing w:after="100"/>
      </w:pPr>
      <w:r>
        <w:rPr>
          <w:sz w:val="20"/>
          <w:szCs w:val="20"/>
        </w:rPr>
        <w:t xml:space="preserve">Aufbewahrung: Die Dokumentation 10 Jahre nach dem Inverkehrbringen oder der Inbetriebnahme für die zuständigen Behörden bereithalten (Art. 18).</w:t>
      </w:r>
    </w:p>
    <w:p>
      <w:pPr>
        <w:pStyle w:val="ListParagraph"/>
        <w:numPr>
          <w:ilvl w:val="0"/>
          <w:numId w:val="1"/>
        </w:numPr>
        <w:spacing w:after="100"/>
      </w:pPr>
      <w:r>
        <w:rPr>
          <w:sz w:val="20"/>
          <w:szCs w:val="20"/>
        </w:rPr>
        <w:t xml:space="preserve">Verweise statt Kopien: Umfangreiche Unterlagen (Testberichte, Datenblätter, Risikoregister) als Anlage führen und im Anlagenverzeichnis am Ende mit Version und Ablageort referenzieren.</w:t>
      </w:r>
    </w:p>
    <w:p>
      <w:pPr>
        <w:pStyle w:val="Heading1"/>
        <w:pageBreakBefore/>
      </w:pPr>
      <w:r>
        <w:t xml:space="preserve">1 Allgemeine Beschreibung des KI-Systems</w:t>
      </w:r>
    </w:p>
    <w:p>
      <w:pPr>
        <w:spacing w:after="80"/>
      </w:pPr>
      <w:r>
        <w:rPr>
          <w:i/>
          <w:iCs/>
          <w:color w:val="6B7280"/>
          <w:sz w:val="19"/>
          <w:szCs w:val="19"/>
        </w:rPr>
        <w:t xml:space="preserve">Anhang IV Nr. 1. Wer das System nicht kennt, soll nach diesem Abschnitt verstehen, was es tut, für wen, in welcher Form es ausgeliefert wird und worauf es läuft.</w:t>
      </w:r>
    </w:p>
    <w:p>
      <w:pPr>
        <w:spacing w:after="80"/>
      </w:pPr>
    </w:p>
    <w:p>
      <w:pPr>
        <w:pStyle w:val="Heading2"/>
      </w:pPr>
      <w:r>
        <w:t xml:space="preserve">1.1 Zweckbestimmung, Anbieter und Version</w:t>
      </w:r>
    </w:p>
    <w:p>
      <w:pPr>
        <w:spacing w:after="80"/>
      </w:pPr>
      <w:r>
        <w:rPr>
          <w:i/>
          <w:iCs/>
          <w:color w:val="6B7280"/>
          <w:sz w:val="19"/>
          <w:szCs w:val="19"/>
        </w:rPr>
        <w:t xml:space="preserve">Zweckbestimmung so konkret wie möglich: Wer nutzt das System, wofür, in welchem Kontext, mit welchen Personen als Betroffenen? Was ist ausdrücklich nicht vorgesehen?</w:t>
      </w:r>
    </w:p>
    <w:p>
      <w:pPr>
        <w:spacing w:after="80"/>
      </w:pPr>
      <w:r>
        <w:rPr>
          <w:i/>
          <w:iCs/>
          <w:color w:val="6B7280"/>
          <w:sz w:val="19"/>
          <w:szCs w:val="19"/>
        </w:rPr>
        <w:t xml:space="preserve">Version so angeben, dass das Verhältnis zu früheren Versionen erkennbar ist.</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10"/>
        <w:gridCol w:w="6396"/>
      </w:tblGrid>
      <w:tr>
        <w:trPr>
          <w:tblHeader/>
        </w:trPr>
        <w:tc>
          <w:tcPr>
            <w:tcW w:type="pct" w:w="1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Angabe</w:t>
            </w:r>
          </w:p>
        </w:tc>
        <w:tc>
          <w:tcPr>
            <w:tcW w:type="pct" w:w="34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Inhalt</w:t>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Bezeichnung des Systems</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Anbieter (Name, Anschrift, Kontakt)</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Bevollmächtigter in der EU (falls zutreffend)</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Zweckbestimmung</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Nicht vorgesehene Verwendungen</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Version / Verhältnis zu Vorversionen</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600"/>
            <w:tcBorders>
              <w:top w:val="single" w:color="D1D5DB" w:sz="4"/>
              <w:left w:val="single" w:color="D1D5DB" w:sz="4"/>
              <w:bottom w:val="single" w:color="D1D5DB" w:sz="4"/>
              <w:right w:val="single" w:color="D1D5DB" w:sz="4"/>
            </w:tcBorders>
            <w:shd w:fill="F3F4F6" w:color="auto" w:val="clear"/>
            <w:tcMar>
              <w:top w:type="dxa" w:w="60"/>
              <w:left w:type="dxa" w:w="90"/>
              <w:bottom w:type="dxa" w:w="60"/>
              <w:right w:type="dxa" w:w="90"/>
            </w:tcMar>
          </w:tcPr>
          <w:p>
            <w:r>
              <w:rPr>
                <w:b/>
                <w:bCs/>
                <w:sz w:val="19"/>
                <w:szCs w:val="19"/>
              </w:rPr>
              <w:t xml:space="preserve">Datum Inverkehrbringen / Inbetriebnahme</w:t>
            </w:r>
          </w:p>
        </w:tc>
        <w:tc>
          <w:tcPr>
            <w:tcW w:type="pct" w:w="3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1.2 Interaktion mit Hardware, Software und anderen KI-Systemen</w:t>
      </w:r>
    </w:p>
    <w:p>
      <w:pPr>
        <w:spacing w:after="80"/>
      </w:pPr>
      <w:r>
        <w:rPr>
          <w:i/>
          <w:iCs/>
          <w:color w:val="6B7280"/>
          <w:sz w:val="19"/>
          <w:szCs w:val="19"/>
        </w:rPr>
        <w:t xml:space="preserve">Alle Systeme, mit denen das KI-System Daten austauscht oder die es steuert – auch andere KI-Systeme, die nicht Teil davon sind (z. B. ein eingebundenes Sprachmodell eines Drittanbieters).</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46"/>
        <w:gridCol w:w="2822"/>
        <w:gridCol w:w="1317"/>
        <w:gridCol w:w="2822"/>
      </w:tblGrid>
      <w:tr>
        <w:trPr>
          <w:tblHeader/>
        </w:trPr>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System / Komponente</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Art der Interaktion</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Verantwortlich / Anbieter</w:t>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1.3 Software- und Firmwareversionen, Update-Anforderungen</w:t>
      </w:r>
    </w:p>
    <w:p>
      <w:pPr>
        <w:spacing w:after="80"/>
      </w:pPr>
      <w:r>
        <w:rPr>
          <w:i/>
          <w:iCs/>
          <w:color w:val="6B7280"/>
          <w:sz w:val="19"/>
          <w:szCs w:val="19"/>
        </w:rPr>
        <w:t xml:space="preserve">Relevante Versionen (Laufzeitumgebung, Bibliotheken, Modelle, Firmware) und welche Anforderungen an Updates bestehen: Wer spielt sie ein, wie werden Betreiber informiert, welche Updates lösen eine Neubewertung aus?</w:t>
      </w:r>
    </w:p>
    <w:p>
      <w:pPr>
        <w:spacing w:after="200"/>
      </w:pPr>
      <w:r>
        <w:rPr>
          <w:color w:val="9CA3AF"/>
        </w:rPr>
        <w:t xml:space="preserve">[Eintrag]</w:t>
      </w:r>
    </w:p>
    <w:p>
      <w:pPr>
        <w:pStyle w:val="Heading2"/>
      </w:pPr>
      <w:r>
        <w:t xml:space="preserve">1.4 Formen des Inverkehrbringens bzw. der Inbetriebnahme</w:t>
      </w:r>
    </w:p>
    <w:p>
      <w:pPr>
        <w:spacing w:after="80"/>
      </w:pPr>
      <w:r>
        <w:rPr>
          <w:i/>
          <w:iCs/>
          <w:color w:val="6B7280"/>
          <w:sz w:val="19"/>
          <w:szCs w:val="19"/>
        </w:rPr>
        <w:t xml:space="preserve">z. B. SaaS-Zugang, API, herunterladbares Softwarepaket, in Hardware eingebettet, On-Premises-Installation.</w:t>
      </w:r>
    </w:p>
    <w:p>
      <w:pPr>
        <w:spacing w:after="200"/>
      </w:pPr>
      <w:r>
        <w:rPr>
          <w:color w:val="9CA3AF"/>
        </w:rPr>
        <w:t xml:space="preserve">[Eintrag]</w:t>
      </w:r>
    </w:p>
    <w:p>
      <w:pPr>
        <w:pStyle w:val="Heading2"/>
      </w:pPr>
      <w:r>
        <w:t xml:space="preserve">1.5 Hardware, auf der das System laufen soll</w:t>
      </w:r>
    </w:p>
    <w:p>
      <w:pPr>
        <w:spacing w:after="80"/>
      </w:pPr>
      <w:r>
        <w:rPr>
          <w:i/>
          <w:iCs/>
          <w:color w:val="6B7280"/>
          <w:sz w:val="19"/>
          <w:szCs w:val="19"/>
        </w:rPr>
        <w:t xml:space="preserve">Mindestanforderungen und getestete Konfigurationen (CPU/GPU, Speicher, Sensoren, Betriebssystem, Cloud-Region).</w:t>
      </w:r>
    </w:p>
    <w:p>
      <w:pPr>
        <w:spacing w:after="200"/>
      </w:pPr>
      <w:r>
        <w:rPr>
          <w:color w:val="9CA3AF"/>
        </w:rPr>
        <w:t xml:space="preserve">[Eintrag]</w:t>
      </w:r>
    </w:p>
    <w:p>
      <w:pPr>
        <w:pStyle w:val="Heading2"/>
      </w:pPr>
      <w:r>
        <w:t xml:space="preserve">1.6 Abbildungen (falls Bestandteil eines Produkts)</w:t>
      </w:r>
    </w:p>
    <w:p>
      <w:pPr>
        <w:spacing w:after="80"/>
      </w:pPr>
      <w:r>
        <w:rPr>
          <w:i/>
          <w:iCs/>
          <w:color w:val="6B7280"/>
          <w:sz w:val="19"/>
          <w:szCs w:val="19"/>
        </w:rPr>
        <w:t xml:space="preserve">Ist das KI-System Bestandteil eines Produkts: Fotos oder Abbildungen, die äußere Merkmale, Kennzeichnung und inneren Aufbau zeigen. Sonst „nicht einschlägig“ mit Begründung.</w:t>
      </w:r>
    </w:p>
    <w:p>
      <w:pPr>
        <w:spacing w:after="200"/>
      </w:pPr>
      <w:r>
        <w:rPr>
          <w:color w:val="9CA3AF"/>
        </w:rPr>
        <w:t xml:space="preserve">[Eintrag]</w:t>
      </w:r>
    </w:p>
    <w:p>
      <w:pPr>
        <w:pStyle w:val="Heading2"/>
      </w:pPr>
      <w:r>
        <w:t xml:space="preserve">1.7 Benutzeroberfläche für den Betreiber</w:t>
      </w:r>
    </w:p>
    <w:p>
      <w:pPr>
        <w:spacing w:after="80"/>
      </w:pPr>
      <w:r>
        <w:rPr>
          <w:i/>
          <w:iCs/>
          <w:color w:val="6B7280"/>
          <w:sz w:val="19"/>
          <w:szCs w:val="19"/>
        </w:rPr>
        <w:t xml:space="preserve">Grundlegende Beschreibung der Oberfläche, mit der Betreiber arbeiten – idealerweise mit Screenshots der Stellen, an denen Ergebnisse angezeigt, erklärt oder übersteuert werden.</w:t>
      </w:r>
    </w:p>
    <w:p>
      <w:pPr>
        <w:spacing w:after="200"/>
      </w:pPr>
      <w:r>
        <w:rPr>
          <w:color w:val="9CA3AF"/>
        </w:rPr>
        <w:t xml:space="preserve">[Eintrag]</w:t>
      </w:r>
    </w:p>
    <w:p>
      <w:pPr>
        <w:pStyle w:val="Heading2"/>
      </w:pPr>
      <w:r>
        <w:t xml:space="preserve">1.8 Betriebsanleitung für Betreiber</w:t>
      </w:r>
    </w:p>
    <w:p>
      <w:pPr>
        <w:spacing w:after="80"/>
      </w:pPr>
      <w:r>
        <w:rPr>
          <w:i/>
          <w:iCs/>
          <w:color w:val="6B7280"/>
          <w:sz w:val="19"/>
          <w:szCs w:val="19"/>
        </w:rPr>
        <w:t xml:space="preserve">Verweis auf die Betriebsanleitung nach Art. 13 (Version, Ablageort) oder Kopie als Anlage.</w:t>
      </w:r>
    </w:p>
    <w:p>
      <w:pPr>
        <w:spacing w:after="200"/>
      </w:pPr>
      <w:r>
        <w:rPr>
          <w:color w:val="9CA3AF"/>
        </w:rPr>
        <w:t xml:space="preserve">[Eintrag]</w:t>
      </w:r>
    </w:p>
    <w:p>
      <w:pPr>
        <w:pStyle w:val="Heading1"/>
        <w:pageBreakBefore/>
      </w:pPr>
      <w:r>
        <w:t xml:space="preserve">2 Bestandteile und Entwicklungsprozess</w:t>
      </w:r>
    </w:p>
    <w:p>
      <w:pPr>
        <w:spacing w:after="80"/>
      </w:pPr>
      <w:r>
        <w:rPr>
          <w:i/>
          <w:iCs/>
          <w:color w:val="6B7280"/>
          <w:sz w:val="19"/>
          <w:szCs w:val="19"/>
        </w:rPr>
        <w:t xml:space="preserve">Anhang IV Nr. 2. Der umfangreichste Abschnitt: wie das System gebaut, trainiert, geprüft und abgesichert wurde.</w:t>
      </w:r>
    </w:p>
    <w:p>
      <w:pPr>
        <w:spacing w:after="80"/>
      </w:pPr>
    </w:p>
    <w:p>
      <w:pPr>
        <w:pStyle w:val="Heading2"/>
      </w:pPr>
      <w:r>
        <w:t xml:space="preserve">2.1 Entwicklungsmethoden und -schritte</w:t>
      </w:r>
    </w:p>
    <w:p>
      <w:pPr>
        <w:spacing w:after="80"/>
      </w:pPr>
      <w:r>
        <w:rPr>
          <w:i/>
          <w:iCs/>
          <w:color w:val="6B7280"/>
          <w:sz w:val="19"/>
          <w:szCs w:val="19"/>
        </w:rPr>
        <w:t xml:space="preserve">Vorgehen von der Anforderung bis zur Freigabe. Einsatz vortrainierter Modelle oder Werkzeuge Dritter: welche, wie integriert, wie verändert?</w:t>
      </w:r>
    </w:p>
    <w:p>
      <w:pPr>
        <w:spacing w:after="200"/>
      </w:pPr>
      <w:r>
        <w:rPr>
          <w:color w:val="9CA3AF"/>
        </w:rPr>
        <w:t xml:space="preserve">[Eintrag]</w:t>
      </w:r>
    </w:p>
    <w:p>
      <w:pPr>
        <w:pStyle w:val="Heading2"/>
      </w:pPr>
      <w:r>
        <w:t xml:space="preserve">2.2 Design-Spezifikationen</w:t>
      </w:r>
    </w:p>
    <w:p>
      <w:pPr>
        <w:spacing w:after="80"/>
      </w:pPr>
      <w:r>
        <w:rPr>
          <w:i/>
          <w:iCs/>
          <w:color w:val="6B7280"/>
          <w:sz w:val="19"/>
          <w:szCs w:val="19"/>
        </w:rPr>
        <w:t xml:space="preserve">Allgemeine Logik und Algorithmen; wesentliche Designentscheidungen mit Begründung und Annahmen – auch zu den Personen oder Gruppen, bei denen das System eingesetzt werden soll; wesentliche Klassifizierungsentscheidungen; worauf das System optimiert ist und welche Parameter wie stark wirken; erwartete Ergebnisqualität.</w:t>
      </w:r>
    </w:p>
    <w:p>
      <w:pPr>
        <w:spacing w:after="80"/>
      </w:pPr>
      <w:r>
        <w:rPr>
          <w:i/>
          <w:iCs/>
          <w:color w:val="6B7280"/>
          <w:sz w:val="19"/>
          <w:szCs w:val="19"/>
        </w:rPr>
        <w:t xml:space="preserve">Zielkonflikte offenlegen: Welche Abwägungen wurden getroffen, um die Anforderungen aus Kapitel III Abschnitt 2 zu erfüllen (z. B. Genauigkeit vs. Erklärbarkeit)?</w:t>
      </w:r>
    </w:p>
    <w:p>
      <w:pPr>
        <w:spacing w:after="200"/>
      </w:pPr>
      <w:r>
        <w:rPr>
          <w:color w:val="9CA3AF"/>
        </w:rPr>
        <w:t xml:space="preserve">[Eintrag]</w:t>
      </w:r>
    </w:p>
    <w:p>
      <w:pPr>
        <w:pStyle w:val="Heading2"/>
      </w:pPr>
      <w:r>
        <w:t xml:space="preserve">2.3 Systemarchitektur und Rechenressourcen</w:t>
      </w:r>
    </w:p>
    <w:p>
      <w:pPr>
        <w:spacing w:after="80"/>
      </w:pPr>
      <w:r>
        <w:rPr>
          <w:i/>
          <w:iCs/>
          <w:color w:val="6B7280"/>
          <w:sz w:val="19"/>
          <w:szCs w:val="19"/>
        </w:rPr>
        <w:t xml:space="preserve">Wie die Softwarekomponenten aufeinander aufbauen und Daten weitergeben (Architekturdiagramm als Anlage). Rechenressourcen für Entwicklung, Training, Test und Validierung.</w:t>
      </w:r>
    </w:p>
    <w:p>
      <w:pPr>
        <w:spacing w:after="200"/>
      </w:pPr>
      <w:r>
        <w:rPr>
          <w:color w:val="9CA3AF"/>
        </w:rPr>
        <w:t xml:space="preserve">[Eintrag]</w:t>
      </w:r>
    </w:p>
    <w:p>
      <w:pPr>
        <w:pStyle w:val="Heading2"/>
      </w:pPr>
      <w:r>
        <w:t xml:space="preserve">2.4 Datenanforderungen und Datenblätter</w:t>
      </w:r>
    </w:p>
    <w:p>
      <w:pPr>
        <w:spacing w:after="80"/>
      </w:pPr>
      <w:r>
        <w:rPr>
          <w:i/>
          <w:iCs/>
          <w:color w:val="6B7280"/>
          <w:sz w:val="19"/>
          <w:szCs w:val="19"/>
        </w:rPr>
        <w:t xml:space="preserve">Je Datensatz: Herkunft, Umfang, wesentliche Merkmale, wie die Daten beschafft und ausgewählt wurden, Kennzeichnungsverfahren (Labeling), Bereinigung (z. B. Ausreißer). Verweis auf die Data Governance nach Art. 10.</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5"/>
        <w:gridCol w:w="1505"/>
        <w:gridCol w:w="1505"/>
        <w:gridCol w:w="1317"/>
        <w:gridCol w:w="1317"/>
        <w:gridCol w:w="1317"/>
        <w:gridCol w:w="941"/>
      </w:tblGrid>
      <w:tr>
        <w:trPr>
          <w:tblHeader/>
        </w:trPr>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Datensatz</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Zweck (Training/Validierung/Test)</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Herkunft</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Umfang / Zeitraum</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Kennzeichnung</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Bereinigung</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Personenbezug</w:t>
            </w:r>
          </w:p>
        </w:tc>
      </w:tr>
      <w:tr>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2.5 Bewertung der Maßnahmen zur menschlichen Aufsicht (Art. 14)</w:t>
      </w:r>
    </w:p>
    <w:p>
      <w:pPr>
        <w:spacing w:after="80"/>
      </w:pPr>
      <w:r>
        <w:rPr>
          <w:i/>
          <w:iCs/>
          <w:color w:val="6B7280"/>
          <w:sz w:val="19"/>
          <w:szCs w:val="19"/>
        </w:rPr>
        <w:t xml:space="preserve">Welche Aufsichtsmaßnahmen sind nötig, und welche technischen Mittel helfen Betreibern, die Ausgaben richtig zu interpretieren (Art. 13 Abs. 3 Buchst. d)? Z. B. Konfidenzwerte, Begründungen, Stopp- oder Übersteuerungsfunktion.</w:t>
      </w:r>
    </w:p>
    <w:p>
      <w:pPr>
        <w:spacing w:after="200"/>
      </w:pPr>
      <w:r>
        <w:rPr>
          <w:color w:val="9CA3AF"/>
        </w:rPr>
        <w:t xml:space="preserve">[Eintrag]</w:t>
      </w:r>
    </w:p>
    <w:p>
      <w:pPr>
        <w:pStyle w:val="Heading2"/>
      </w:pPr>
      <w:r>
        <w:t xml:space="preserve">2.6 Vorab festgelegte Änderungen</w:t>
      </w:r>
    </w:p>
    <w:p>
      <w:pPr>
        <w:spacing w:after="80"/>
      </w:pPr>
      <w:r>
        <w:rPr>
          <w:i/>
          <w:iCs/>
          <w:color w:val="6B7280"/>
          <w:sz w:val="19"/>
          <w:szCs w:val="19"/>
        </w:rPr>
        <w:t xml:space="preserve">Falls das System nach dem Inverkehrbringen planmäßig weiterlernt oder angepasst wird: welche Änderungen vorab festgelegt sind und wie die fortlaufende Erfüllung der Anforderungen sichergestellt wird. Sonst „nicht einschlägig“.</w:t>
      </w:r>
    </w:p>
    <w:p>
      <w:pPr>
        <w:spacing w:after="200"/>
      </w:pPr>
      <w:r>
        <w:rPr>
          <w:color w:val="9CA3AF"/>
        </w:rPr>
        <w:t xml:space="preserve">[Eintrag]</w:t>
      </w:r>
    </w:p>
    <w:p>
      <w:pPr>
        <w:pStyle w:val="Heading2"/>
      </w:pPr>
      <w:r>
        <w:t xml:space="preserve">2.7 Validierungs- und Testverfahren</w:t>
      </w:r>
    </w:p>
    <w:p>
      <w:pPr>
        <w:spacing w:after="80"/>
      </w:pPr>
      <w:r>
        <w:rPr>
          <w:i/>
          <w:iCs/>
          <w:color w:val="6B7280"/>
          <w:sz w:val="19"/>
          <w:szCs w:val="19"/>
        </w:rPr>
        <w:t xml:space="preserve">Verwendete Validierungs- und Testdaten mit ihren wesentlichen Merkmalen; Metriken für Genauigkeit, Robustheit und weitere Anforderungen sowie für mögliche diskriminierende Auswirkungen. Testprotokolle und Testberichte datiert und von den Verantwortlichen unterzeichnet – auch für vorab festgelegte Änderungen.</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1035"/>
        <w:gridCol w:w="1411"/>
        <w:gridCol w:w="1505"/>
        <w:gridCol w:w="1129"/>
        <w:gridCol w:w="1129"/>
        <w:gridCol w:w="2257"/>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Test-ID</w:t>
            </w:r>
          </w:p>
        </w:tc>
        <w:tc>
          <w:tcPr>
            <w:tcW w:type="pct" w:w="5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Datum</w:t>
            </w:r>
          </w:p>
        </w:tc>
        <w:tc>
          <w:tcPr>
            <w:tcW w:type="pct" w:w="7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Datensatz</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Metrik</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Ergebnis</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Schwelle</w:t>
            </w:r>
          </w:p>
        </w:tc>
        <w:tc>
          <w:tcPr>
            <w:tcW w:type="pct" w:w="1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Freigabe (Name, Datum)</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2.8 Cybersicherheitsmaßnahmen</w:t>
      </w:r>
    </w:p>
    <w:p>
      <w:pPr>
        <w:spacing w:after="80"/>
      </w:pPr>
      <w:r>
        <w:rPr>
          <w:i/>
          <w:iCs/>
          <w:color w:val="6B7280"/>
          <w:sz w:val="19"/>
          <w:szCs w:val="19"/>
        </w:rPr>
        <w:t xml:space="preserve">Maßnahmen gegen Manipulation von Trainingsdaten, Modellangriffe (z. B. Prompt Injection, Adversarial Examples), unbefugten Zugriff; Ergebnisse von Sicherheitstests. Verweis auf ISMS/TOM, wo vorhanden.</w:t>
      </w:r>
    </w:p>
    <w:p>
      <w:pPr>
        <w:spacing w:after="200"/>
      </w:pPr>
      <w:r>
        <w:rPr>
          <w:color w:val="9CA3AF"/>
        </w:rPr>
        <w:t xml:space="preserve">[Eintrag]</w:t>
      </w:r>
    </w:p>
    <w:p>
      <w:pPr>
        <w:pStyle w:val="Heading1"/>
        <w:pageBreakBefore/>
      </w:pPr>
      <w:r>
        <w:t xml:space="preserve">3 Überwachung, Funktionsweise und Kontrolle</w:t>
      </w:r>
    </w:p>
    <w:p>
      <w:pPr>
        <w:spacing w:after="80"/>
      </w:pPr>
      <w:r>
        <w:rPr>
          <w:i/>
          <w:iCs/>
          <w:color w:val="6B7280"/>
          <w:sz w:val="19"/>
          <w:szCs w:val="19"/>
        </w:rPr>
        <w:t xml:space="preserve">Anhang IV Nr. 3. Was das System kann und was nicht – ehrlich, mit Zahlen und für die Gruppen, bei denen es eingesetzt wird.</w:t>
      </w:r>
    </w:p>
    <w:p>
      <w:pPr>
        <w:spacing w:after="80"/>
      </w:pPr>
    </w:p>
    <w:p>
      <w:pPr>
        <w:pStyle w:val="Heading2"/>
      </w:pPr>
      <w:r>
        <w:t xml:space="preserve">3.1 Fähigkeiten und Leistungsgrenzen</w:t>
      </w:r>
    </w:p>
    <w:p>
      <w:pPr>
        <w:spacing w:after="80"/>
      </w:pPr>
      <w:r>
        <w:rPr>
          <w:i/>
          <w:iCs/>
          <w:color w:val="6B7280"/>
          <w:sz w:val="19"/>
          <w:szCs w:val="19"/>
        </w:rPr>
        <w:t xml:space="preserve">Erwartete Gesamtgenauigkeit bezogen auf die Zweckbestimmung und Genauigkeit für bestimmte Personen oder Personengruppen, bei denen das System eingesetzt werden soll.</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46"/>
        <w:gridCol w:w="1693"/>
        <w:gridCol w:w="1129"/>
        <w:gridCol w:w="1881"/>
        <w:gridCol w:w="2257"/>
      </w:tblGrid>
      <w:tr>
        <w:trPr>
          <w:tblHeader/>
        </w:trPr>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Personengruppe / Segment</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Metrik</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Wert</w:t>
            </w:r>
          </w:p>
        </w:tc>
        <w:tc>
          <w:tcPr>
            <w:tcW w:type="pct" w:w="1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Abweichung zum Gesamtwert</w:t>
            </w:r>
          </w:p>
        </w:tc>
        <w:tc>
          <w:tcPr>
            <w:tcW w:type="pct" w:w="1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Bewertung</w:t>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3.2 Vorhersehbare unbeabsichtigte Ergebnisse und Risikoquellen</w:t>
      </w:r>
    </w:p>
    <w:p>
      <w:pPr>
        <w:spacing w:after="80"/>
      </w:pPr>
      <w:r>
        <w:rPr>
          <w:i/>
          <w:iCs/>
          <w:color w:val="6B7280"/>
          <w:sz w:val="19"/>
          <w:szCs w:val="19"/>
        </w:rPr>
        <w:t xml:space="preserve">Risiken für Gesundheit, Sicherheit, Grundrechte und Diskriminierung, die sich aus der Zweckbestimmung ergeben können – inklusive vernünftigerweise vorhersehbarer Fehlanwendung.</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822"/>
        <w:gridCol w:w="1693"/>
        <w:gridCol w:w="1505"/>
        <w:gridCol w:w="2069"/>
        <w:gridCol w:w="1317"/>
      </w:tblGrid>
      <w:tr>
        <w:trPr>
          <w:tblHeader/>
        </w:trPr>
        <w:tc>
          <w:tcPr>
            <w:tcW w:type="pct" w:w="1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Risiko / unbeabsichtigtes Ergebnis</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Quelle</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Betroffene</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Gegenmaßnahme</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Restrisiko</w:t>
            </w:r>
          </w:p>
        </w:tc>
      </w:tr>
      <w:tr>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3.3 Maßnahmen zur menschlichen Aufsicht</w:t>
      </w:r>
    </w:p>
    <w:p>
      <w:pPr>
        <w:spacing w:after="80"/>
      </w:pPr>
      <w:r>
        <w:rPr>
          <w:i/>
          <w:iCs/>
          <w:color w:val="6B7280"/>
          <w:sz w:val="19"/>
          <w:szCs w:val="19"/>
        </w:rPr>
        <w:t xml:space="preserve">Die nach Art. 14 erforderlichen Maßnahmen aus Sicht des Betriebs: wer überwacht, wann eingegriffen werden kann, wie Betreiber die Ausgaben interpretieren.</w:t>
      </w:r>
    </w:p>
    <w:p>
      <w:pPr>
        <w:spacing w:after="200"/>
      </w:pPr>
      <w:r>
        <w:rPr>
          <w:color w:val="9CA3AF"/>
        </w:rPr>
        <w:t xml:space="preserve">[Eintrag]</w:t>
      </w:r>
    </w:p>
    <w:p>
      <w:pPr>
        <w:pStyle w:val="Heading2"/>
      </w:pPr>
      <w:r>
        <w:t xml:space="preserve">3.4 Spezifikationen der Eingabedaten</w:t>
      </w:r>
    </w:p>
    <w:p>
      <w:pPr>
        <w:spacing w:after="80"/>
      </w:pPr>
      <w:r>
        <w:rPr>
          <w:i/>
          <w:iCs/>
          <w:color w:val="6B7280"/>
          <w:sz w:val="19"/>
          <w:szCs w:val="19"/>
        </w:rPr>
        <w:t xml:space="preserve">Welche Eingabedaten das System erwartet (Format, Qualität, Wertebereiche) und was bei abweichenden Eingaben passiert.</w:t>
      </w:r>
    </w:p>
    <w:p>
      <w:pPr>
        <w:spacing w:after="200"/>
      </w:pPr>
      <w:r>
        <w:rPr>
          <w:color w:val="9CA3AF"/>
        </w:rPr>
        <w:t xml:space="preserve">[Eintrag]</w:t>
      </w:r>
    </w:p>
    <w:p>
      <w:pPr>
        <w:pStyle w:val="Heading1"/>
        <w:pageBreakBefore/>
      </w:pPr>
      <w:r>
        <w:t xml:space="preserve">4 Eignung der Leistungskennzahlen</w:t>
      </w:r>
    </w:p>
    <w:p>
      <w:pPr>
        <w:spacing w:after="80"/>
      </w:pPr>
      <w:r>
        <w:rPr>
          <w:i/>
          <w:iCs/>
          <w:color w:val="6B7280"/>
          <w:sz w:val="19"/>
          <w:szCs w:val="19"/>
        </w:rPr>
        <w:t xml:space="preserve">Anhang IV Nr. 4. Warum gerade diese Kennzahlen die Leistung dieses Systems aussagekräftig beschreiben.</w:t>
      </w:r>
    </w:p>
    <w:p>
      <w:pPr>
        <w:spacing w:after="80"/>
      </w:pPr>
    </w:p>
    <w:p>
      <w:pPr>
        <w:pStyle w:val="Heading2"/>
      </w:pPr>
      <w:r>
        <w:t xml:space="preserve">4.1 Kennzahlen und Begründung</w:t>
      </w:r>
    </w:p>
    <w:p>
      <w:pPr>
        <w:spacing w:after="80"/>
      </w:pPr>
      <w:r>
        <w:rPr>
          <w:i/>
          <w:iCs/>
          <w:color w:val="6B7280"/>
          <w:sz w:val="19"/>
          <w:szCs w:val="19"/>
        </w:rPr>
        <w:t xml:space="preserve">Je Kennzahl: warum sie für die Zweckbestimmung geeignet ist, welcher Zielwert gilt und wo die Kennzahl an Grenzen stößt (z. B. Accuracy bei unausgewogenen Klassen).</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93"/>
        <w:gridCol w:w="3198"/>
        <w:gridCol w:w="1317"/>
        <w:gridCol w:w="3198"/>
      </w:tblGrid>
      <w:tr>
        <w:trPr>
          <w:tblHeader/>
        </w:trPr>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Kennzahl</w:t>
            </w:r>
          </w:p>
        </w:tc>
        <w:tc>
          <w:tcPr>
            <w:tcW w:type="pct" w:w="1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Warum geeignet</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Zielwert</w:t>
            </w:r>
          </w:p>
        </w:tc>
        <w:tc>
          <w:tcPr>
            <w:tcW w:type="pct" w:w="1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Grenzen der Kennzahl</w:t>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1"/>
        <w:pageBreakBefore/>
      </w:pPr>
      <w:r>
        <w:t xml:space="preserve">5 Risikomanagementsystem (Art. 9)</w:t>
      </w:r>
    </w:p>
    <w:p>
      <w:pPr>
        <w:spacing w:after="80"/>
      </w:pPr>
      <w:r>
        <w:rPr>
          <w:i/>
          <w:iCs/>
          <w:color w:val="6B7280"/>
          <w:sz w:val="19"/>
          <w:szCs w:val="19"/>
        </w:rPr>
        <w:t xml:space="preserve">Anhang IV Nr. 5. Ausführliche Beschreibung des Risikomanagementsystems – als fortlaufender Prozess über den gesamten Lebenszyklus.</w:t>
      </w:r>
    </w:p>
    <w:p>
      <w:pPr>
        <w:spacing w:after="80"/>
      </w:pPr>
    </w:p>
    <w:p>
      <w:pPr>
        <w:pStyle w:val="Heading2"/>
      </w:pPr>
      <w:r>
        <w:t xml:space="preserve">5.1 Prozess und Verantwortlichkeiten</w:t>
      </w:r>
    </w:p>
    <w:p>
      <w:pPr>
        <w:spacing w:after="80"/>
      </w:pPr>
      <w:r>
        <w:rPr>
          <w:i/>
          <w:iCs/>
          <w:color w:val="6B7280"/>
          <w:sz w:val="19"/>
          <w:szCs w:val="19"/>
        </w:rPr>
        <w:t xml:space="preserve">Wie Risiken ermittelt, bewertet, behandelt und überprüft werden; wer verantwortlich ist; in welchem Rhythmus und bei welchen Anlässen das Risikomanagement aktualisiert wird.</w:t>
      </w:r>
    </w:p>
    <w:p>
      <w:pPr>
        <w:spacing w:after="200"/>
      </w:pPr>
      <w:r>
        <w:rPr>
          <w:color w:val="9CA3AF"/>
        </w:rPr>
        <w:t xml:space="preserve">[Eintrag]</w:t>
      </w:r>
    </w:p>
    <w:p>
      <w:pPr>
        <w:pStyle w:val="Heading2"/>
      </w:pPr>
      <w:r>
        <w:t xml:space="preserve">5.2 Risikoregister (Auszug oder Verweis)</w:t>
      </w:r>
    </w:p>
    <w:p>
      <w:pPr>
        <w:spacing w:after="80"/>
      </w:pPr>
      <w:r>
        <w:rPr>
          <w:i/>
          <w:iCs/>
          <w:color w:val="6B7280"/>
          <w:sz w:val="19"/>
          <w:szCs w:val="19"/>
        </w:rPr>
        <w:t xml:space="preserve">Vollständiges Register als Anlage führen; hier die wesentlichen Risiken.</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752"/>
        <w:gridCol w:w="2446"/>
        <w:gridCol w:w="1223"/>
        <w:gridCol w:w="1035"/>
        <w:gridCol w:w="2069"/>
        <w:gridCol w:w="941"/>
        <w:gridCol w:w="941"/>
      </w:tblGrid>
      <w:tr>
        <w:trPr>
          <w:tblHeader/>
        </w:trPr>
        <w:tc>
          <w:tcPr>
            <w:tcW w:type="pct" w:w="4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ID</w:t>
            </w:r>
          </w:p>
        </w:tc>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Risiko</w:t>
            </w:r>
          </w:p>
        </w:tc>
        <w:tc>
          <w:tcPr>
            <w:tcW w:type="pct" w:w="6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Wahrscheinlichkeit</w:t>
            </w:r>
          </w:p>
        </w:tc>
        <w:tc>
          <w:tcPr>
            <w:tcW w:type="pct" w:w="55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Schwere</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Maßnahme</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Restrisiko</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Status</w:t>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4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5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5.3 Tests zur Risikominderung</w:t>
      </w:r>
    </w:p>
    <w:p>
      <w:pPr>
        <w:spacing w:after="80"/>
      </w:pPr>
      <w:r>
        <w:rPr>
          <w:i/>
          <w:iCs/>
          <w:color w:val="6B7280"/>
          <w:sz w:val="19"/>
          <w:szCs w:val="19"/>
        </w:rPr>
        <w:t xml:space="preserve">Welche Tests belegen, dass die Maßnahmen wirken, und gegen welche vorab festgelegten Metriken und Schwellen?</w:t>
      </w:r>
    </w:p>
    <w:p>
      <w:pPr>
        <w:spacing w:after="200"/>
      </w:pPr>
      <w:r>
        <w:rPr>
          <w:color w:val="9CA3AF"/>
        </w:rPr>
        <w:t xml:space="preserve">[Eintrag]</w:t>
      </w:r>
    </w:p>
    <w:p>
      <w:pPr>
        <w:pStyle w:val="Heading1"/>
        <w:pageBreakBefore/>
      </w:pPr>
      <w:r>
        <w:t xml:space="preserve">6 Änderungen über den Lebenszyklus</w:t>
      </w:r>
    </w:p>
    <w:p>
      <w:pPr>
        <w:spacing w:after="80"/>
      </w:pPr>
      <w:r>
        <w:rPr>
          <w:i/>
          <w:iCs/>
          <w:color w:val="6B7280"/>
          <w:sz w:val="19"/>
          <w:szCs w:val="19"/>
        </w:rPr>
        <w:t xml:space="preserve">Anhang IV Nr. 6. Relevante Änderungen, die der Anbieter am System vornimmt.</w:t>
      </w:r>
    </w:p>
    <w:p>
      <w:pPr>
        <w:spacing w:after="80"/>
      </w:pPr>
    </w:p>
    <w:p>
      <w:pPr>
        <w:pStyle w:val="Heading2"/>
      </w:pPr>
      <w:r>
        <w:t xml:space="preserve">6.1 Änderungsverzeichnis</w:t>
      </w:r>
    </w:p>
    <w:p>
      <w:pPr>
        <w:spacing w:after="80"/>
      </w:pPr>
      <w:r>
        <w:rPr>
          <w:i/>
          <w:iCs/>
          <w:color w:val="6B7280"/>
          <w:sz w:val="19"/>
          <w:szCs w:val="19"/>
        </w:rPr>
        <w:t xml:space="preserve">Jede relevante Änderung mit Bewertung, ob sie wesentlich ist. Eine wesentliche Änderung kann eine neue Konformitätsbewertung erfordern.</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129"/>
        <w:gridCol w:w="941"/>
        <w:gridCol w:w="3198"/>
        <w:gridCol w:w="2257"/>
        <w:gridCol w:w="1881"/>
      </w:tblGrid>
      <w:tr>
        <w:trPr>
          <w:tblHeader/>
        </w:trPr>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Datum</w:t>
            </w:r>
          </w:p>
        </w:tc>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Änderung</w:t>
            </w:r>
          </w:p>
        </w:tc>
        <w:tc>
          <w:tcPr>
            <w:tcW w:type="pct" w:w="12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Wesentlich? (Begründung)</w:t>
            </w:r>
          </w:p>
        </w:tc>
        <w:tc>
          <w:tcPr>
            <w:tcW w:type="pct" w:w="1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Neubewertung / Ergebnis</w:t>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2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1"/>
        <w:pageBreakBefore/>
      </w:pPr>
      <w:r>
        <w:t xml:space="preserve">7 Angewandte harmonisierte Normen und andere Lösungen</w:t>
      </w:r>
    </w:p>
    <w:p>
      <w:pPr>
        <w:spacing w:after="80"/>
      </w:pPr>
      <w:r>
        <w:rPr>
          <w:i/>
          <w:iCs/>
          <w:color w:val="6B7280"/>
          <w:sz w:val="19"/>
          <w:szCs w:val="19"/>
        </w:rPr>
        <w:t xml:space="preserve">Anhang IV Nr. 7. Welche Normen ganz oder teilweise angewandt wurden – und wo keine angewandt wurden, wie die Anforderungen stattdessen erfüllt werden.</w:t>
      </w:r>
    </w:p>
    <w:p>
      <w:pPr>
        <w:spacing w:after="80"/>
      </w:pPr>
    </w:p>
    <w:p>
      <w:pPr>
        <w:pStyle w:val="Heading2"/>
      </w:pPr>
      <w:r>
        <w:t xml:space="preserve">7.1 Normen und Spezifikationen</w:t>
      </w:r>
    </w:p>
    <w:p>
      <w:pPr>
        <w:spacing w:after="80"/>
      </w:pPr>
      <w:r>
        <w:rPr>
          <w:i/>
          <w:iCs/>
          <w:color w:val="6B7280"/>
          <w:sz w:val="19"/>
          <w:szCs w:val="19"/>
        </w:rPr>
        <w:t xml:space="preserve">Harmonisierte Normen mit Fundstelle im Amtsblatt der EU; außerdem weitere relevante Normen und technische Spezifikationen. Stand der Normung regelmäßig prüfen.</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069"/>
        <w:gridCol w:w="1693"/>
        <w:gridCol w:w="1505"/>
        <w:gridCol w:w="2069"/>
        <w:gridCol w:w="2069"/>
      </w:tblGrid>
      <w:tr>
        <w:trPr>
          <w:tblHeader/>
        </w:trPr>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Norm / Spezifikation</w:t>
            </w:r>
          </w:p>
        </w:tc>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Fundstelle</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Vollständig / teilweise</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Betroffene Anforderung</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Abweichung / andere Lösung</w:t>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2"/>
      </w:pPr>
      <w:r>
        <w:t xml:space="preserve">7.2 Lösungen ohne harmonisierte Norm</w:t>
      </w:r>
    </w:p>
    <w:p>
      <w:pPr>
        <w:spacing w:after="80"/>
      </w:pPr>
      <w:r>
        <w:rPr>
          <w:i/>
          <w:iCs/>
          <w:color w:val="6B7280"/>
          <w:sz w:val="19"/>
          <w:szCs w:val="19"/>
        </w:rPr>
        <w:t xml:space="preserve">Je Anforderung aus Kapitel III Abschnitt 2 (Art. 8–15), für die keine harmonisierte Norm angewandt wurde: ausführliche Beschreibung der gewählten Lösung.</w:t>
      </w:r>
    </w:p>
    <w:p>
      <w:pPr>
        <w:spacing w:after="200"/>
      </w:pPr>
      <w:r>
        <w:rPr>
          <w:color w:val="9CA3AF"/>
        </w:rPr>
        <w:t xml:space="preserve">[Eintrag]</w:t>
      </w:r>
    </w:p>
    <w:p>
      <w:pPr>
        <w:pStyle w:val="Heading1"/>
        <w:pageBreakBefore/>
      </w:pPr>
      <w:r>
        <w:t xml:space="preserve">8 EU-Konformitätserklärung (Art. 47)</w:t>
      </w:r>
    </w:p>
    <w:p>
      <w:pPr>
        <w:spacing w:after="80"/>
      </w:pPr>
      <w:r>
        <w:rPr>
          <w:i/>
          <w:iCs/>
          <w:color w:val="6B7280"/>
          <w:sz w:val="19"/>
          <w:szCs w:val="19"/>
        </w:rPr>
        <w:t xml:space="preserve">Anhang IV Nr. 8. Eine Kopie der EU-Konformitätserklärung gehört in die technische Dokumentation.</w:t>
      </w:r>
    </w:p>
    <w:p>
      <w:pPr>
        <w:spacing w:after="80"/>
      </w:pPr>
    </w:p>
    <w:p>
      <w:pPr>
        <w:pStyle w:val="Heading2"/>
      </w:pPr>
      <w:r>
        <w:t xml:space="preserve">8.1 Kopie der Konformitätserklärung</w:t>
      </w:r>
    </w:p>
    <w:p>
      <w:pPr>
        <w:spacing w:after="80"/>
      </w:pPr>
      <w:r>
        <w:rPr>
          <w:i/>
          <w:iCs/>
          <w:color w:val="6B7280"/>
          <w:sz w:val="19"/>
          <w:szCs w:val="19"/>
        </w:rPr>
        <w:t xml:space="preserve">Kopie als Anlage beifügen; Inhalt nach Anhang V. Bei neuer Fassung der Erklärung auch diese Tabelle fortschreiben.</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693"/>
        <w:gridCol w:w="1317"/>
        <w:gridCol w:w="2446"/>
        <w:gridCol w:w="1505"/>
        <w:gridCol w:w="2446"/>
      </w:tblGrid>
      <w:tr>
        <w:trPr>
          <w:tblHeader/>
        </w:trPr>
        <w:tc>
          <w:tcPr>
            <w:tcW w:type="pct" w:w="9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Nr. / Fassung</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Datum</w:t>
            </w:r>
          </w:p>
        </w:tc>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Unterzeichnet von</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Systemversion</w:t>
            </w:r>
          </w:p>
        </w:tc>
        <w:tc>
          <w:tcPr>
            <w:tcW w:type="pct" w:w="13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Ablage / Anlage</w:t>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9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3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1"/>
        <w:pageBreakBefore/>
      </w:pPr>
      <w:r>
        <w:t xml:space="preserve">9 Beobachtung nach dem Inverkehrbringen (Art. 72)</w:t>
      </w:r>
    </w:p>
    <w:p>
      <w:pPr>
        <w:spacing w:after="80"/>
      </w:pPr>
      <w:r>
        <w:rPr>
          <w:i/>
          <w:iCs/>
          <w:color w:val="6B7280"/>
          <w:sz w:val="19"/>
          <w:szCs w:val="19"/>
        </w:rPr>
        <w:t xml:space="preserve">Anhang IV Nr. 9. Wie die Leistung des Systems im Betrieb bewertet wird, einschließlich des Plans zur Beobachtung nach dem Inverkehrbringen.</w:t>
      </w:r>
    </w:p>
    <w:p>
      <w:pPr>
        <w:spacing w:after="80"/>
      </w:pPr>
    </w:p>
    <w:p>
      <w:pPr>
        <w:pStyle w:val="Heading2"/>
      </w:pPr>
      <w:r>
        <w:t xml:space="preserve">9.1 System zur Beobachtung</w:t>
      </w:r>
    </w:p>
    <w:p>
      <w:pPr>
        <w:spacing w:after="80"/>
      </w:pPr>
      <w:r>
        <w:rPr>
          <w:i/>
          <w:iCs/>
          <w:color w:val="6B7280"/>
          <w:sz w:val="19"/>
          <w:szCs w:val="19"/>
        </w:rPr>
        <w:t xml:space="preserve">Welche Daten aus dem Betrieb gesammelt werden (auch über Betreiber), wie sie ausgewertet werden und wer handelt, wenn Schwellen überschritten werden. Bezug zur Meldung schwerwiegender Vorfälle (Art. 73).</w:t>
      </w:r>
    </w:p>
    <w:p>
      <w:pPr>
        <w:spacing w:after="200"/>
      </w:pPr>
      <w:r>
        <w:rPr>
          <w:color w:val="9CA3AF"/>
        </w:rPr>
        <w:t xml:space="preserve">[Eintrag]</w:t>
      </w:r>
    </w:p>
    <w:p>
      <w:pPr>
        <w:pStyle w:val="Heading2"/>
      </w:pPr>
      <w:r>
        <w:t xml:space="preserve">9.2 Plan zur Beobachtung nach dem Inverkehrbringen</w:t>
      </w:r>
    </w:p>
    <w:p>
      <w:pPr>
        <w:spacing w:after="80"/>
      </w:pPr>
      <w:r>
        <w:rPr>
          <w:i/>
          <w:iCs/>
          <w:color w:val="6B7280"/>
          <w:sz w:val="19"/>
          <w:szCs w:val="19"/>
        </w:rPr>
        <w:t xml:space="preserve">Der Plan ist Teil der technischen Dokumentation (Art. 72 Abs. 3).</w:t>
      </w:r>
    </w:p>
    <w:p>
      <w:pPr>
        <w:spacing w:after="4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881"/>
        <w:gridCol w:w="1505"/>
        <w:gridCol w:w="1129"/>
        <w:gridCol w:w="1317"/>
        <w:gridCol w:w="2069"/>
        <w:gridCol w:w="1505"/>
      </w:tblGrid>
      <w:tr>
        <w:trPr>
          <w:tblHeader/>
        </w:trPr>
        <w:tc>
          <w:tcPr>
            <w:tcW w:type="pct" w:w="1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Signal / Kennzahl</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Quelle</w:t>
            </w:r>
          </w:p>
        </w:tc>
        <w:tc>
          <w:tcPr>
            <w:tcW w:type="pct" w:w="6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Häufigkeit</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Schwelle</w:t>
            </w:r>
          </w:p>
        </w:tc>
        <w:tc>
          <w:tcPr>
            <w:tcW w:type="pct" w:w="11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Maßnahme</w:t>
            </w:r>
          </w:p>
        </w:tc>
        <w:tc>
          <w:tcPr>
            <w:tcW w:type="pct" w:w="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Verantwortlich</w:t>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1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6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1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p>
      <w:pPr>
        <w:spacing w:after="160"/>
      </w:pPr>
    </w:p>
    <w:p>
      <w:pPr>
        <w:spacing w:after="200"/>
      </w:pPr>
      <w:r>
        <w:rPr>
          <w:color w:val="9CA3AF"/>
        </w:rPr>
        <w:t xml:space="preserve">[Eintrag]</w:t>
      </w:r>
    </w:p>
    <w:p>
      <w:pPr>
        <w:pStyle w:val="Heading1"/>
        <w:pageBreakBefore/>
      </w:pPr>
      <w:r>
        <w:t xml:space="preserve">Anlagenverzeichnis</w:t>
      </w:r>
    </w:p>
    <w:p>
      <w:pPr>
        <w:spacing w:after="80"/>
      </w:pPr>
      <w:r>
        <w:rPr>
          <w:i/>
          <w:iCs/>
          <w:color w:val="6B7280"/>
          <w:sz w:val="19"/>
          <w:szCs w:val="19"/>
        </w:rPr>
        <w:t xml:space="preserve">Alle Unterlagen, auf die oben verwiesen wird, mit Version und Ablageort.</w:t>
      </w:r>
    </w:p>
    <w:p>
      <w:pPr>
        <w:spacing w:after="8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41"/>
        <w:gridCol w:w="3762"/>
        <w:gridCol w:w="1317"/>
        <w:gridCol w:w="3386"/>
      </w:tblGrid>
      <w:tr>
        <w:trPr>
          <w:tblHeader/>
        </w:trPr>
        <w:tc>
          <w:tcPr>
            <w:tcW w:type="pct" w:w="5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Anlage</w:t>
            </w:r>
          </w:p>
        </w:tc>
        <w:tc>
          <w:tcPr>
            <w:tcW w:type="pct" w:w="20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Titel</w:t>
            </w:r>
          </w:p>
        </w:tc>
        <w:tc>
          <w:tcPr>
            <w:tcW w:type="pct" w:w="7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Version</w:t>
            </w:r>
          </w:p>
        </w:tc>
        <w:tc>
          <w:tcPr>
            <w:tcW w:type="pct" w:w="1800"/>
            <w:tcBorders>
              <w:top w:val="single" w:color="D1D5DB" w:sz="4"/>
              <w:left w:val="single" w:color="D1D5DB" w:sz="4"/>
              <w:bottom w:val="single" w:color="D1D5DB" w:sz="4"/>
              <w:right w:val="single" w:color="D1D5DB" w:sz="4"/>
            </w:tcBorders>
            <w:shd w:fill="16181D" w:color="auto" w:val="clear"/>
            <w:tcMar>
              <w:top w:type="dxa" w:w="60"/>
              <w:left w:type="dxa" w:w="90"/>
              <w:bottom w:type="dxa" w:w="60"/>
              <w:right w:type="dxa" w:w="90"/>
            </w:tcMar>
          </w:tcPr>
          <w:p>
            <w:r>
              <w:rPr>
                <w:b/>
                <w:bCs/>
                <w:color w:val="FFFFFF"/>
                <w:sz w:val="18"/>
                <w:szCs w:val="18"/>
              </w:rPr>
              <w:t xml:space="preserve">Ablageort</w:t>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A1</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Betriebsanleitung (Art. 13)</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A2</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Architekturdiagramm</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A3</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Datenblätter</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A4</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Testberichte</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A5</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Risikoregister</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A6</w:t>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EU-Konformitätserklärung</w:t>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r>
        <w:tc>
          <w:tcPr>
            <w:tcW w:type="pct" w:w="5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20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7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c>
          <w:tcPr>
            <w:tcW w:type="pct" w:w="1800"/>
            <w:tcBorders>
              <w:top w:val="single" w:color="D1D5DB" w:sz="4"/>
              <w:left w:val="single" w:color="D1D5DB" w:sz="4"/>
              <w:bottom w:val="single" w:color="D1D5DB" w:sz="4"/>
              <w:right w:val="single" w:color="D1D5DB" w:sz="4"/>
            </w:tcBorders>
            <w:tcMar>
              <w:top w:type="dxa" w:w="60"/>
              <w:left w:type="dxa" w:w="90"/>
              <w:bottom w:type="dxa" w:w="60"/>
              <w:right w:type="dxa" w:w="90"/>
            </w:tcMar>
          </w:tcPr>
          <w:p>
            <w:r>
              <w:rPr>
                <w:b w:val="false"/>
                <w:bCs w:val="false"/>
                <w:sz w:val="19"/>
                <w:szCs w:val="19"/>
              </w:rPr>
              <w:t xml:space="preserve"/>
            </w:r>
          </w:p>
        </w:tc>
      </w:tr>
    </w:tbl>
    <w:sectPr>
      <w:headerReference w:type="default" r:id="rId6"/>
      <w:headerReference w:type="first" r:id="rId7"/>
      <w:footerReference w:type="default" r:id="rId8"/>
      <w:footerReference w:type="first" r:id="rId9"/>
      <w:pgSz w:w="11906" w:h="16838" w:orient="portrait"/>
      <w:pgMar w:top="1300" w:right="1250" w:bottom="1200" w:left="1250" w:header="708" w:footer="708"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SimpleAct-Vorlage Anhang IV · Stand 3. Oktober 2026 · Seite </w:t>
      <w:fldChar w:fldCharType="begin"/>
      <w:instrText xml:space="preserve">PAGE</w:instrText>
      <w:fldChar w:fldCharType="separate"/>
      <w:fldChar w:fldCharType="end"/>
      <w:t xml:space="preserve"> von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7280"/>
        <w:sz w:val="16"/>
        <w:szCs w:val="16"/>
      </w:rPr>
      <w:t xml:space="preserve">Technische Dokumentation · [KI-System] · vertraulich</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7"/>
        <w:sz w:val="21"/>
        <w:szCs w:val="21"/>
        <w:lang w:val="de-DE"/>
      </w:rPr>
    </w:rPrDefault>
    <w:pPrDefault>
      <w:pPr>
        <w:spacing w:line="276"/>
      </w:pPr>
    </w:pPrDefault>
  </w:docDefaults>
  <w:style w:type="paragraph" w:styleId="Normal" w:default="1">
    <w:name w:val="Normal"/>
    <w:qFormat/>
  </w:style>
  <w:style w:type="paragraph" w:styleId="Title">
    <w:name w:val="Title"/>
    <w:basedOn w:val="Normal"/>
    <w:next w:val="Normal"/>
    <w:qFormat/>
    <w:pPr>
      <w:spacing w:after="160"/>
    </w:pPr>
    <w:rPr>
      <w:rFonts w:ascii="Calibri" w:cs="Calibri" w:eastAsia="Calibri" w:hAnsi="Calibri"/>
      <w:b/>
      <w:bCs/>
      <w:color w:val="16181D"/>
      <w:sz w:val="36"/>
      <w:szCs w:val="36"/>
    </w:rPr>
  </w:style>
  <w:style w:type="paragraph" w:styleId="Heading1">
    <w:name w:val="Heading 1"/>
    <w:basedOn w:val="Normal"/>
    <w:next w:val="Normal"/>
    <w:qFormat/>
    <w:pPr>
      <w:spacing w:after="120" w:before="240"/>
    </w:pPr>
    <w:rPr>
      <w:rFonts w:ascii="Calibri" w:cs="Calibri" w:eastAsia="Calibri" w:hAnsi="Calibri"/>
      <w:b/>
      <w:bCs/>
      <w:color w:val="16181D"/>
      <w:sz w:val="32"/>
      <w:szCs w:val="32"/>
    </w:rPr>
  </w:style>
  <w:style w:type="paragraph" w:styleId="Heading2">
    <w:name w:val="Heading 2"/>
    <w:basedOn w:val="Normal"/>
    <w:next w:val="Normal"/>
    <w:qFormat/>
    <w:pPr>
      <w:keepNext/>
      <w:spacing w:after="80" w:before="280"/>
    </w:pPr>
    <w:rPr>
      <w:rFonts w:ascii="Calibri" w:cs="Calibri" w:eastAsia="Calibri" w:hAnsi="Calibri"/>
      <w:b/>
      <w:bCs/>
      <w:color w:val="2563EB"/>
      <w:sz w:val="25"/>
      <w:szCs w:val="25"/>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Technische Dokumentation nach Anhang IV KI-VO – Vorlage</dc:title>
  <dc:subject>Vorlage für die technische Dokumentation von Hochrisiko-KI-Systemen nach Art. 11 und Anhang IV der Verordnung (EU) 2024/1689</dc:subject>
  <dc:creator>SimpleAct</dc:creator>
  <cp:keywords>Technische Dokumentation, Anhang IV, KI-Verordnung, EU AI Act, Hochrisiko-KI, Vorlage, Art. 11</cp:keywords>
  <dc:description>Diese Vorlage ist eine Arbeitshilfe von SimpleAct und keine Rechtsberatung. Sie gibt die Gliederung von Anhang IV sinngemäß wieder. Maßgeblich ist allein der Wortlaut von Anhang IV der Verordnung (EU) 2024/1689 in der jeweils geltenden Fassung (zuletzt geändert durch die Verordnung (EU) 2026/1744). Grau-kursive Ausfüllhinweise vor der Freigabe löschen.</dc:description>
  <cp:lastModifiedBy>SimpleAct</cp:lastModifiedBy>
  <cp:revision>1</cp:revision>
  <dcterms:created xsi:type="dcterms:W3CDTF">2026-10-03T20:35:17.233Z</dcterms:created>
  <dcterms:modified xsi:type="dcterms:W3CDTF">2026-10-03T20:35:17.233Z</dcterms:modified>
  <dc:language>de-DE</dc:language>
</cp:coreProperties>
</file>

<file path=docProps/custom.xml><?xml version="1.0" encoding="utf-8"?>
<Properties xmlns="http://schemas.openxmlformats.org/officeDocument/2006/custom-properties" xmlns:vt="http://schemas.openxmlformats.org/officeDocument/2006/docPropsVTypes"/>
</file>