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rPr>
          <w:rFonts w:ascii="Calibri" w:cs="Calibri" w:eastAsia="Calibri" w:hAnsi="Calibri"/>
          <w:b/>
          <w:bCs/>
          <w:color w:val="16181D"/>
          <w:sz w:val="40"/>
          <w:szCs w:val="40"/>
        </w:rPr>
        <w:t xml:space="preserve">Anlage TOM zum Auftragsverarbeitungsvertrag</w:t>
      </w:r>
    </w:p>
    <w:p>
      <w:pPr>
        <w:spacing w:after="24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Technische und organisatorische Maßnahmen nach Art. 32 DSGVO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Auftragsverarbeiter</w:t>
            </w:r>
          </w:p>
        </w:tc>
        <w:tc>
          <w:tcPr>
            <w:tcW w:type="pct" w:w="3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[Name, Anschrift]</w:t>
            </w:r>
          </w:p>
        </w:tc>
      </w:tr>
      <w:tr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Verantwortlicher (Auftraggeber)</w:t>
            </w:r>
          </w:p>
        </w:tc>
        <w:tc>
          <w:tcPr>
            <w:tcW w:type="pct" w:w="3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[Name, Anschrift]</w:t>
            </w:r>
          </w:p>
        </w:tc>
      </w:tr>
      <w:tr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Zugehöriger Vertrag</w:t>
            </w:r>
          </w:p>
        </w:tc>
        <w:tc>
          <w:tcPr>
            <w:tcW w:type="pct" w:w="3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[AVV vom TT.MM.JJJJ / Hauptvertrag]</w:t>
            </w:r>
          </w:p>
        </w:tc>
      </w:tr>
      <w:tr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Betroffene Verarbeitungen / Systeme</w:t>
            </w:r>
          </w:p>
        </w:tc>
        <w:tc>
          <w:tcPr>
            <w:tcW w:type="pct" w:w="3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[z. B. Hosting Kundenportal, Ticket-System]</w:t>
            </w:r>
          </w:p>
        </w:tc>
      </w:tr>
      <w:tr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Ansprechperson Datenschutz / Informationssicherheit</w:t>
            </w:r>
          </w:p>
        </w:tc>
        <w:tc>
          <w:tcPr>
            <w:tcW w:type="pct" w:w="3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[Name, E-Mail]</w:t>
            </w:r>
          </w:p>
        </w:tc>
      </w:tr>
      <w:tr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Version / Stand</w:t>
            </w:r>
          </w:p>
        </w:tc>
        <w:tc>
          <w:tcPr>
            <w:tcW w:type="pct" w:w="3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[1.0 / TT.MM.JJJJ]</w:t>
            </w:r>
          </w:p>
        </w:tc>
      </w:tr>
      <w:tr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Nächste geplante Überprüfung</w:t>
            </w:r>
          </w:p>
        </w:tc>
        <w:tc>
          <w:tcPr>
            <w:tcW w:type="pct" w:w="3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[TT.MM.JJJJ]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So verwenden Sie diese Vorlage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6181D"/>
          <w:sz w:val="20"/>
          <w:szCs w:val="20"/>
        </w:rPr>
        <w:t xml:space="preserve">Die Vorlage gliedert die Maßnahmen nach Art. 32 Abs. 1 lit. a–d und Abs. 4 DSGVO. Art. 32 schreibt keine feste Liste vor: Welche Maßnahmen angemessen sind, hängt vom Risiko der konkreten Verarbeitung, vom Stand der Technik und von den Implementierungskosten ab.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6181D"/>
          <w:sz w:val="20"/>
          <w:szCs w:val="20"/>
        </w:rPr>
        <w:t xml:space="preserve">Die vorausgefüllten Maßnahmen sind Beispiele. Streichen Sie, was nicht zutrifft, und ergänzen Sie Ihre tatsächlichen Maßnahmen. Beschreiben Sie, was umgesetzt ist – nicht, was geplant oder gewünscht ist. Geplante Maßnahmen kennzeichnen Sie als „geplant“ mit Termin.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6181D"/>
          <w:sz w:val="20"/>
          <w:szCs w:val="20"/>
        </w:rPr>
        <w:t xml:space="preserve">Tragen Sie in der rechten Spalte ein, wie die Maßnahme umgesetzt ist und wo der Nachweis liegt (Richtlinie, Konfiguration, Testbericht, Zertifikat).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6181D"/>
          <w:sz w:val="20"/>
          <w:szCs w:val="20"/>
        </w:rPr>
        <w:t xml:space="preserve">Abschnitt 10 (KI-Dienste) füllen Sie nur aus, wenn bei der Verarbeitung KI-Dienste eingesetzt werden. Er enthält Empfehlungen, keine zusätzlichen gesetzlichen Pflichten.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6181D"/>
          <w:sz w:val="20"/>
          <w:szCs w:val="20"/>
        </w:rPr>
        <w:t xml:space="preserve">Diese Vorlage ist eine Arbeitshilfe der Redaktion SimpleAct und ersetzt keine Rechtsberatung. Stimmen Sie die fertige Anlage mit Ihrer Datenschutzberatung ab.</w:t>
      </w:r>
    </w:p>
    <w:p>
      <w:pPr>
        <w:pStyle w:val="Heading2"/>
        <w:keepNext/>
        <w:pageBreakBefore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1. Pseudonymisierung und Verschlüsselung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Art. 32 Abs. 1 lit. a DSGVO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Verschlüsselung schützt Vertraulichkeit und Integrität bei Übertragung und Speicherung. Pseudonymisierung trennt Identifikatoren von den übrigen Daten (Art. 4 Nr. 5 DSGVO).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Umsetzung und Nachweis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Transportverschlüsselung (z. B. TLS) für alle Verbindungen mit personenbezogenen Daten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Verschlüsselung gespeicherter Daten (Datenbanken, Datenträger, Backups)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Schlüsselverwaltung: Zuständigkeit, Speicherung, Wechsel der Schlüssel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Verschlüsselung mobiler Endgeräte und Wechseldatenträger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Pseudonymisierung, wo der Zweck es zulässt (z. B. Test- und Analysedaten)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</w:tbl>
    <w:p>
      <w:pPr>
        <w:pStyle w:val="Heading2"/>
        <w:keepNext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2. Vertraulichkeit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Art. 32 Abs. 1 lit. b DSGVO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Nur Befugte erhalten Zutritt zu Räumen, Zugang zu Systemen und Zugriff auf Daten – und nur im erforderlichen Umfang.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Umsetzung und Nachweis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Physischer Zutritt: Zutrittsregelung für Büro- und Serverräume, Besucherregelung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Systemzugang: Passwort-Richtlinie, Mehrfaktor-Authentifizierung für Fernzugänge und Administration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Zugriff: Rollen- und Berechtigungskonzept nach dem Need-to-know-Prinzip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Regelmäßige Überprüfung der Berechtigungen und Entzug bei Austritt oder Rollenwechsel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Trennung der Daten verschiedener Auftraggeber (Mandantentrennung) bzw. verschiedener Zwecke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Sichere Entsorgung von Papier und Datenträgern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</w:tbl>
    <w:p>
      <w:pPr>
        <w:pStyle w:val="Heading2"/>
        <w:keepNext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3. Integrität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Art. 32 Abs. 1 lit. b DSGVO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Daten werden nicht unbemerkt oder unbefugt verändert – weder bei der Eingabe noch bei der Übertragung.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Umsetzung und Nachweis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Protokollierung von Eingaben, Änderungen und Löschungen (wer, wann, was)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Schutz der Protokolle vor nachträglicher Veränderung und Regelung ihrer Aufbewahrung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Festgelegte Übertragungswege; Dokumentation, an welche Stellen Daten übermittelt werden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Schutz vor Schadsoftware, zeitnahe Sicherheitsupdates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</w:tbl>
    <w:p>
      <w:pPr>
        <w:pStyle w:val="Heading2"/>
        <w:keepNext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4. Verfügbarkeit und Belastbarkeit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Art. 32 Abs. 1 lit. b DSGVO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Systeme und Dienste bleiben auf Dauer verfügbar und halten Last und Störungen stand.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Umsetzung und Nachweis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Backup-Konzept: Umfang, Häufigkeit, Aufbewahrung, getrennter Speicherort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Redundanz kritischer Komponenten, unterbrechungsfreie Stromversorgung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Überwachung (Monitoring) mit Alarmierung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Schutz vor Überlastung und Angriffen auf die Verfügbarkeit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Rechenzentrum: Standort, Betreiber, ggf. Zertifizierungen [Angaben des Betreibers]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</w:tbl>
    <w:p>
      <w:pPr>
        <w:pStyle w:val="Heading2"/>
        <w:keepNext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5. Rasche Wiederherstellbarkeit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Art. 32 Abs. 1 lit. c DSGVO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Nach einem physischen oder technischen Zwischenfall lassen sich Verfügbarkeit und Zugang zu den Daten rasch wiederherstellen.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Umsetzung und Nachweis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Wiederherstellungsverfahren dokumentiert, mit Zielwerten für Wiederanlaufzeit und Datenverlust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Regelmäßige Wiederherstellungstests mit Protokoll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Notfallplan mit Zuständigkeiten und Kontaktdaten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</w:tbl>
    <w:p>
      <w:pPr>
        <w:pStyle w:val="Heading2"/>
        <w:keepNext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6. Überprüfung, Bewertung und Evaluierung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Art. 32 Abs. 1 lit. d DSGVO, Art. 24 Abs. 1 DSGVO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Ein festes Verfahren prüft regelmäßig, ob die Maßnahmen wirken – und aktualisiert sie bei Änderungen.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Umsetzung und Nachweis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Festgelegter Überprüfungsrhythmus für diese Anlage und anlassbezogene Überprüfung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Technische Prüfungen, z. B. Schwachstellenscans oder Penetrationstests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Interne Audits oder Prüfungen durch Dritte; Umgang mit Feststellungen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Änderungsmanagement: neue Systeme und Dienstleister vor Einsatz bewerten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</w:tbl>
    <w:p>
      <w:pPr>
        <w:pStyle w:val="Heading2"/>
        <w:keepNext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7. Organisatorische Maßnahmen und Weisungsbindung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Art. 32 Abs. 4, Art. 28 Abs. 3 lit. a, b DSGVO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Personen mit Zugang zu personenbezogenen Daten verarbeiten sie nur auf Anweisung und sind zur Vertraulichkeit verpflichtet.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Umsetzung und Nachweis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Verpflichtung der Beschäftigten auf Vertraulichkeit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Dokumentierte Weisungen des Auftraggebers und Verfahren für ihre Umsetzung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Schulung und Sensibilisierung zu Datenschutz und Informationssicherheit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Benannte Zuständigkeiten (Datenschutz, Informationssicherheit)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Richtlinien, z. B. zur Nutzung von IT, mobilem Arbeiten und Clean Desk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</w:tbl>
    <w:p>
      <w:pPr>
        <w:pStyle w:val="Heading2"/>
        <w:keepNext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8. Auftragskontrolle und Unterauftragsverarbeiter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Art. 28 Abs. 2 und 4 DSGVO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Weitere Auftragsverarbeiter werden nur mit Genehmigung eingesetzt und mit denselben Datenschutzpflichten gebunden.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Umsetzung und Nachweis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Aktuelle Liste der Unterauftragsverarbeiter mit Leistung und Standort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Prüfung der Unterauftragsverarbeiter vor Beauftragung und in regelmäßigen Abständen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Information des Auftraggebers über beabsichtigte Änderungen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Weitergabe der Datenschutzpflichten per Vertrag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</w:tbl>
    <w:p>
      <w:pPr>
        <w:pStyle w:val="Heading2"/>
        <w:keepNext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9. Datenschutzfreundliche Voreinstellungen, Löschung und Vorfälle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Art. 25, Art. 28 Abs. 3 lit. e–g, Art. 33 Abs. 2 DSGVO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Voreinstellungen begrenzen die Verarbeitung auf das Erforderliche; Löschung und Meldung von Vorfällen sind geregelt.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Umsetzung und Nachweis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Datenschutzfreundliche Voreinstellungen (nur erforderliche Daten, begrenzte Sichtbarkeit)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Verfahren zur Unterstützung bei Betroffenenanfragen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Löschung oder Rückgabe der Daten nach Ende der Leistung; Löschprotokoll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Verfahren zur unverzüglichen Meldung von Datenschutzverletzungen an den Auftraggeber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</w:tbl>
    <w:p>
      <w:pPr>
        <w:pStyle w:val="Heading2"/>
        <w:keepNext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10. KI-Dienste (nur falls eingesetzt)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Empfehlung – Art. 32 DSGVO, Art. 28 DSGVO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Wird bei der Verarbeitung ein KI-Dienst eingesetzt (z. B. ein Sprachmodell über eine API), sollten diese Punkte beschrieben sein.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Umsetzung und Nachweis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Eingesetzte KI-Dienste mit Anbieter, Modell und Verarbeitungsort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Keine Nutzung der Eingaben und Ausgaben zum Training des Anbieters (vertraglich und in den Einstellungen)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Aufbewahrungsdauer und Zugriff auf Prompt- und Antwortprotokolle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Datenminimierung vor der Übergabe an das Modell (z. B. Entfernen oder Pseudonymisieren von Namen)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Berechtigungen bei Dokumentensuche mit KI: Das System zeigt nur, was die Person ohnehin sehen darf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Freigabe neuer KI-Funktionen über das Änderungsmanagement (Abschnitt 6)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umgesetzt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geplant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n. z.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[Beschreibung, Nachweis]</w:t>
            </w:r>
          </w:p>
        </w:tc>
      </w:tr>
    </w:tbl>
    <w:p>
      <w:pPr>
        <w:pStyle w:val="Heading2"/>
        <w:keepNext/>
        <w:spacing w:after="14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11. Änderungshistorie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49"/>
        <w:gridCol w:w="1735"/>
        <w:gridCol w:w="4433"/>
        <w:gridCol w:w="2120"/>
      </w:tblGrid>
      <w:tr>
        <w:trPr>
          <w:tblHeader/>
        </w:trPr>
        <w:tc>
          <w:tcPr>
            <w:tcW w:type="pct" w:w="7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pct" w:w="9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Datum</w:t>
            </w:r>
          </w:p>
        </w:tc>
        <w:tc>
          <w:tcPr>
            <w:tcW w:type="pct" w:w="23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Änderung</w:t>
            </w:r>
          </w:p>
        </w:tc>
        <w:tc>
          <w:tcPr>
            <w:tcW w:type="pct" w:w="11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Freigegeben von</w:t>
            </w:r>
          </w:p>
        </w:tc>
      </w:tr>
      <w:tr>
        <w:tc>
          <w:tcPr>
            <w:tcW w:type="pct" w:w="7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9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23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11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7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9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23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11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7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9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23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11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7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9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23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11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2"/>
        <w:keepNext/>
        <w:spacing w:after="40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Bestätigung</w:t>
      </w:r>
    </w:p>
    <w:p>
      <w:pPr>
        <w:pBdr>
          <w:top w:val="single" w:color="475569" w:sz="6" w:space="4"/>
        </w:pBdr>
        <w:spacing w:after="120" w:before="480"/>
      </w:pPr>
      <w:r>
        <w:rPr>
          <w:rFonts w:ascii="Calibri" w:cs="Calibri" w:eastAsia="Calibri" w:hAnsi="Calibri"/>
          <w:color w:val="475569"/>
          <w:sz w:val="18"/>
          <w:szCs w:val="18"/>
        </w:rPr>
        <w:t xml:space="preserve">Ort, Datum, Unterschrift Auftragsverarbeiter</w:t>
      </w:r>
    </w:p>
    <w:p>
      <w:pPr>
        <w:pBdr>
          <w:top w:val="single" w:color="475569" w:sz="6" w:space="4"/>
        </w:pBdr>
        <w:spacing w:after="120" w:before="480"/>
      </w:pPr>
      <w:r>
        <w:rPr>
          <w:rFonts w:ascii="Calibri" w:cs="Calibri" w:eastAsia="Calibri" w:hAnsi="Calibri"/>
          <w:color w:val="475569"/>
          <w:sz w:val="18"/>
          <w:szCs w:val="18"/>
        </w:rPr>
        <w:t xml:space="preserve">Ort, Datum, Unterschrift Verantwortlicher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475569"/>
        <w:sz w:val="16"/>
        <w:szCs w:val="16"/>
      </w:rPr>
      <w:t xml:space="preserve">Vorlage: Redaktion SimpleAct · simpleact.de/tom-dsgvo · Stand 4. Oktober 2026 · keine Rechtsberatung · Seite </w:t>
    </w:r>
    <w:r>
      <w:rPr>
        <w:rFonts w:ascii="Calibri" w:cs="Calibri" w:eastAsia="Calibri" w:hAnsi="Calibri"/>
        <w:color w:val="47556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TOM zum Auftragsverarbeitungsvertrag – Technische und organisatorische Maßnahmen nach Art. 32 DSGVO</dc:title>
  <dc:creator>SimpleAct</dc:creator>
  <dc:description>Technische und organisatorische Maßnahmen nach Art. 32 DSGVO</dc:description>
  <cp:lastModifiedBy>SimpleAct</cp:lastModifiedBy>
  <cp:revision>1</cp:revision>
  <dcterms:created xsi:type="dcterms:W3CDTF">2026-10-04T07:36:54.607Z</dcterms:created>
  <dcterms:modified xsi:type="dcterms:W3CDTF">2026-10-04T07:36:54.608Z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