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0"/>
      </w:pPr>
    </w:p>
    <w:p>
      <w:pPr>
        <w:spacing w:after="120"/>
      </w:pPr>
      <w:r>
        <w:rPr>
          <w:b/>
          <w:bCs/>
          <w:color w:val="2563EB"/>
          <w:spacing w:val="20"/>
          <w:sz w:val="18"/>
          <w:szCs w:val="18"/>
        </w:rPr>
        <w:t xml:space="preserve">MUSTER · ARBEITSHILFE</w:t>
      </w:r>
    </w:p>
    <w:p>
      <w:pPr>
        <w:spacing w:after="80"/>
      </w:pPr>
      <w:r>
        <w:rPr>
          <w:b/>
          <w:bCs/>
          <w:color w:val="16181D"/>
          <w:sz w:val="60"/>
          <w:szCs w:val="60"/>
        </w:rPr>
        <w:t xml:space="preserve">KI-Nutzungsrichtlinie</w:t>
      </w:r>
    </w:p>
    <w:p>
      <w:pPr>
        <w:spacing w:after="440"/>
      </w:pPr>
      <w:r>
        <w:rPr>
          <w:color w:val="6B7280"/>
          <w:sz w:val="28"/>
          <w:szCs w:val="28"/>
        </w:rPr>
        <w:t xml:space="preserve">Richtlinie zum Einsatz von KI-Systemen und KI-Tools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574"/>
        <w:gridCol w:w="5832"/>
      </w:tblGrid>
      <w:tr>
        <w:trPr>
          <w:tblHeader/>
        </w:trPr>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Angabe</w:t>
            </w:r>
          </w:p>
        </w:tc>
        <w:tc>
          <w:tcPr>
            <w:tcW w:type="pct" w:w="3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Inhalt</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Unternehmen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Rechtsform, Sitz]</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Geltungsbereich</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[gesamtes Unternehmen / Standorte / Gesellschaften]</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[z. B. 1.0]</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Gültig ab</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[TT.MM.JJJJ]</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Verantwortlich</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Funktion]</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Freigegeben durch</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Funktion, Datum]</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Beteiligung Betriebsrat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[Datum, Art der Beteiligung, ggf. Betriebsvereinbarung] / [kein Betriebsrat]</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Nächste planmäßige Überprüfung</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[TT.MM.JJJJ]</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Klassifizierung</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w:t>
            </w:r>
          </w:p>
        </w:tc>
      </w:tr>
    </w:tbl>
    <w:p>
      <w:pPr>
        <w:spacing w:after="3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06"/>
      </w:tblGrid>
      <w:tr>
        <w:tc>
          <w:tcPr>
            <w:tcBorders>
              <w:top w:val="single" w:color="F59E0B" w:sz="6"/>
              <w:left w:val="single" w:color="F59E0B" w:sz="24"/>
              <w:bottom w:val="single" w:color="F59E0B" w:sz="6"/>
              <w:right w:val="single" w:color="F59E0B" w:sz="6"/>
            </w:tcBorders>
            <w:shd w:fill="FEF3C7" w:color="auto" w:val="clear"/>
            <w:tcMar>
              <w:top w:type="dxa" w:w="140"/>
              <w:left w:type="dxa" w:w="180"/>
              <w:bottom w:type="dxa" w:w="140"/>
              <w:right w:type="dxa" w:w="180"/>
            </w:tcMar>
          </w:tcPr>
          <w:p>
            <w:pPr>
              <w:spacing w:after="60"/>
            </w:pPr>
            <w:r>
              <w:rPr>
                <w:b/>
                <w:bCs/>
                <w:color w:val="92400E"/>
              </w:rPr>
              <w:t xml:space="preserve">Hinweis</w:t>
            </w:r>
          </w:p>
          <w:p>
            <w:r>
              <w:rPr>
                <w:color w:val="78350F"/>
                <w:sz w:val="19"/>
                <w:szCs w:val="19"/>
              </w:rPr>
              <w:t xml:space="preserve">Diese Vorlage ist ein Muster und eine Arbeitshilfe von SimpleAct, keine Rechtsberatung. Eine KI-Richtlinie ist gesetzlich nicht ausdrücklich vorgeschrieben; die Vorlage verweist auf Vorschriften, an die einzelne Regeln anknüpfen. Passen Sie Inhalte und [Platzhalter] an Ihr Unternehmen an, lassen Sie die Richtlinie vor der Einführung arbeitsrechtlich prüfen und stimmen Sie sie mit dem Betriebsrat ab, falls einer besteht. Grau-kursive Ausfüllhinweise vor der Freigabe löschen.</w:t>
            </w:r>
          </w:p>
        </w:tc>
      </w:tr>
    </w:tbl>
    <w:p>
      <w:pPr>
        <w:spacing w:after="160"/>
      </w:pPr>
    </w:p>
    <w:p>
      <w:r>
        <w:rPr>
          <w:color w:val="6B7280"/>
          <w:sz w:val="17"/>
          <w:szCs w:val="17"/>
        </w:rPr>
        <w:t xml:space="preserve">Vorlagenstand: 4. Oktober 2026 · simpleact.de/ki-richtlinie-vorlage</w:t>
      </w:r>
    </w:p>
    <w:p>
      <w:r>
        <w:br w:type="page"/>
      </w:r>
    </w:p>
    <w:p>
      <w:pPr>
        <w:pStyle w:val="Title"/>
      </w:pPr>
      <w:r>
        <w:t xml:space="preserve">Änderungshistorie</w:t>
      </w:r>
    </w:p>
    <w:p>
      <w:pPr>
        <w:spacing w:after="80"/>
      </w:pPr>
      <w:r>
        <w:rPr>
          <w:i/>
          <w:iCs/>
          <w:color w:val="6B7280"/>
          <w:sz w:val="19"/>
          <w:szCs w:val="19"/>
        </w:rPr>
        <w:t xml:space="preserve">Jede veröffentlichte Fassung erhält eine eigene Zeile. Änderungen nur an der Freigabeliste (Anlage A) können ohne neue Fassung der Richtlinie erfolgen; vermerken Sie sie dann in Anlage A.</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223"/>
        <w:gridCol w:w="1411"/>
        <w:gridCol w:w="3010"/>
        <w:gridCol w:w="1411"/>
        <w:gridCol w:w="1411"/>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6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Abschnitte</w:t>
            </w:r>
          </w:p>
        </w:tc>
        <w:tc>
          <w:tcPr>
            <w:tcW w:type="pct" w:w="1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Änderung</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Freigabe</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Betriebsrat beteiligt</w:t>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0.1</w:t>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[TT.MM.JJJJ]</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alle</w:t>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Erstfassung</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[ja/nein/–]</w:t>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400"/>
      </w:pPr>
    </w:p>
    <w:p>
      <w:pPr>
        <w:pStyle w:val="Title"/>
      </w:pPr>
      <w:r>
        <w:t xml:space="preserve">Inhaltsverzeichnis</w:t>
      </w:r>
    </w:p>
    <w:p>
      <w:pPr>
        <w:spacing w:after="80"/>
      </w:pPr>
      <w:r>
        <w:rPr>
          <w:i/>
          <w:iCs/>
          <w:color w:val="6B7280"/>
          <w:sz w:val="19"/>
          <w:szCs w:val="19"/>
        </w:rPr>
        <w:t xml:space="preserve">Das Verzeichnis ist ein Word-Feld. Nach dem Bearbeiten: Rechtsklick → „Felder aktualisieren“ → „Gesamtes Verzeichnis aktualisieren“.</w:t>
      </w:r>
    </w:p>
    <w:sdt>
      <w:sdtPr>
        <w:alias w:val="Inhaltsverzeichnis"/>
      </w:sdtPr>
      <w:sdtContent>
        <w:p>
          <w:pPr>
            <w:pStyle w:val="TOC1"/>
            <w:tabs>
              <w:tab w:val="clear" w:pos="9026"/>
              <w:tab w:val="right" w:pos="9025" w:leader="dot"/>
            </w:tabs>
          </w:pPr>
          <w:r>
            <w:fldChar w:fldCharType="begin" w:dirty="true"/>
            <w:instrText xml:space="preserve">TOC \h \o "1-1"</w:instrText>
            <w:fldChar w:fldCharType="separate"/>
          </w:r>
          <w:r>
            <w:t xml:space="default">0 Hinweise zur Verwendung (vor Veröffentlichung löschen)</w:t>
            <w:tab/>
            <w:t xml:space="default"/>
          </w:r>
        </w:p>
        <w:p>
          <w:pPr>
            <w:pStyle w:val="TOC1"/>
            <w:tabs>
              <w:tab w:val="clear" w:pos="9026"/>
              <w:tab w:val="right" w:pos="9025" w:leader="dot"/>
            </w:tabs>
          </w:pPr>
          <w:r>
            <w:t xml:space="default">1 Zweck und Geltungsbereich</w:t>
            <w:tab/>
            <w:t xml:space="default"/>
          </w:r>
        </w:p>
        <w:p>
          <w:pPr>
            <w:pStyle w:val="TOC1"/>
            <w:tabs>
              <w:tab w:val="clear" w:pos="9026"/>
              <w:tab w:val="right" w:pos="9025" w:leader="dot"/>
            </w:tabs>
          </w:pPr>
          <w:r>
            <w:t xml:space="default">2 Begriffe</w:t>
            <w:tab/>
            <w:t xml:space="default"/>
          </w:r>
        </w:p>
        <w:p>
          <w:pPr>
            <w:pStyle w:val="TOC1"/>
            <w:tabs>
              <w:tab w:val="clear" w:pos="9026"/>
              <w:tab w:val="right" w:pos="9025" w:leader="dot"/>
            </w:tabs>
          </w:pPr>
          <w:r>
            <w:t xml:space="default">3 Freigegebene und verbotene KI-Tools</w:t>
            <w:tab/>
            <w:t xml:space="default"/>
          </w:r>
        </w:p>
        <w:p>
          <w:pPr>
            <w:pStyle w:val="TOC1"/>
            <w:tabs>
              <w:tab w:val="clear" w:pos="9026"/>
              <w:tab w:val="right" w:pos="9025" w:leader="dot"/>
            </w:tabs>
          </w:pPr>
          <w:r>
            <w:t xml:space="default">4 Datenklassen: Was nie eingegeben werden darf</w:t>
            <w:tab/>
            <w:t xml:space="default"/>
          </w:r>
        </w:p>
        <w:p>
          <w:pPr>
            <w:pStyle w:val="TOC1"/>
            <w:tabs>
              <w:tab w:val="clear" w:pos="9026"/>
              <w:tab w:val="right" w:pos="9025" w:leader="dot"/>
            </w:tabs>
          </w:pPr>
          <w:r>
            <w:t xml:space="default">5 Freigabeprozess für neue Tools</w:t>
            <w:tab/>
            <w:t xml:space="default"/>
          </w:r>
        </w:p>
        <w:p>
          <w:pPr>
            <w:pStyle w:val="TOC1"/>
            <w:tabs>
              <w:tab w:val="clear" w:pos="9026"/>
              <w:tab w:val="right" w:pos="9025" w:leader="dot"/>
            </w:tabs>
          </w:pPr>
          <w:r>
            <w:t xml:space="default">6 Kennzeichnung KI-generierter Inhalte</w:t>
            <w:tab/>
            <w:t xml:space="default"/>
          </w:r>
        </w:p>
        <w:p>
          <w:pPr>
            <w:pStyle w:val="TOC1"/>
            <w:tabs>
              <w:tab w:val="clear" w:pos="9026"/>
              <w:tab w:val="right" w:pos="9025" w:leader="dot"/>
            </w:tabs>
          </w:pPr>
          <w:r>
            <w:t xml:space="default">7 Schulung und KI-Kompetenz</w:t>
            <w:tab/>
            <w:t xml:space="default"/>
          </w:r>
        </w:p>
        <w:p>
          <w:pPr>
            <w:pStyle w:val="TOC1"/>
            <w:tabs>
              <w:tab w:val="clear" w:pos="9026"/>
              <w:tab w:val="right" w:pos="9025" w:leader="dot"/>
            </w:tabs>
          </w:pPr>
          <w:r>
            <w:t xml:space="default">8 Menschliche Kontrolle der Ergebnisse</w:t>
            <w:tab/>
            <w:t xml:space="default"/>
          </w:r>
        </w:p>
        <w:p>
          <w:pPr>
            <w:pStyle w:val="TOC1"/>
            <w:tabs>
              <w:tab w:val="clear" w:pos="9026"/>
              <w:tab w:val="right" w:pos="9025" w:leader="dot"/>
            </w:tabs>
          </w:pPr>
          <w:r>
            <w:t xml:space="default">9 Urheberrecht, Quellen und Rechte Dritter</w:t>
            <w:tab/>
            <w:t xml:space="default"/>
          </w:r>
        </w:p>
        <w:p>
          <w:pPr>
            <w:pStyle w:val="TOC1"/>
            <w:tabs>
              <w:tab w:val="clear" w:pos="9026"/>
              <w:tab w:val="right" w:pos="9025" w:leader="dot"/>
            </w:tabs>
          </w:pPr>
          <w:r>
            <w:t xml:space="default">10 Meldewege bei Vorfällen</w:t>
            <w:tab/>
            <w:t xml:space="default"/>
          </w:r>
        </w:p>
        <w:p>
          <w:pPr>
            <w:pStyle w:val="TOC1"/>
            <w:tabs>
              <w:tab w:val="clear" w:pos="9026"/>
              <w:tab w:val="right" w:pos="9025" w:leader="dot"/>
            </w:tabs>
          </w:pPr>
          <w:r>
            <w:t xml:space="default">11 Verantwortlichkeiten</w:t>
            <w:tab/>
            <w:t xml:space="default"/>
          </w:r>
        </w:p>
        <w:p>
          <w:pPr>
            <w:pStyle w:val="TOC1"/>
            <w:tabs>
              <w:tab w:val="clear" w:pos="9026"/>
              <w:tab w:val="right" w:pos="9025" w:leader="dot"/>
            </w:tabs>
          </w:pPr>
          <w:r>
            <w:t xml:space="default">12 Verstöße und Folgen</w:t>
            <w:tab/>
            <w:t xml:space="default"/>
          </w:r>
        </w:p>
        <w:p>
          <w:pPr>
            <w:pStyle w:val="TOC1"/>
            <w:tabs>
              <w:tab w:val="clear" w:pos="9026"/>
              <w:tab w:val="right" w:pos="9025" w:leader="dot"/>
            </w:tabs>
          </w:pPr>
          <w:r>
            <w:t xml:space="default">13 Überprüfung und Aktualisierung</w:t>
            <w:tab/>
            <w:t xml:space="default"/>
          </w:r>
        </w:p>
        <w:p>
          <w:pPr>
            <w:pStyle w:val="TOC1"/>
            <w:tabs>
              <w:tab w:val="clear" w:pos="9026"/>
              <w:tab w:val="right" w:pos="9025" w:leader="dot"/>
            </w:tabs>
          </w:pPr>
          <w:r>
            <w:t xml:space="default">Anlage A – Tool-Freigabeliste</w:t>
            <w:tab/>
            <w:t xml:space="default"/>
          </w:r>
        </w:p>
        <w:p>
          <w:pPr>
            <w:pStyle w:val="TOC1"/>
            <w:tabs>
              <w:tab w:val="clear" w:pos="9026"/>
              <w:tab w:val="right" w:pos="9025" w:leader="dot"/>
            </w:tabs>
          </w:pPr>
          <w:r>
            <w:t xml:space="default">Anlage B – Datenklassen</w:t>
            <w:tab/>
            <w:t xml:space="default"/>
          </w:r>
        </w:p>
        <w:p>
          <w:pPr>
            <w:pStyle w:val="TOC1"/>
            <w:tabs>
              <w:tab w:val="clear" w:pos="9026"/>
              <w:tab w:val="right" w:pos="9025" w:leader="dot"/>
            </w:tabs>
          </w:pPr>
          <w:r>
            <w:t xml:space="default">Anlage C – Kenntnisnahme</w:t>
            <w:tab/>
            <w:t xml:space="default"/>
          </w:r>
          <w:r>
            <w:fldChar w:fldCharType="end"/>
          </w:r>
        </w:p>
      </w:sdtContent>
    </w:sdt>
    <w:p>
      <w:r>
        <w:br w:type="page"/>
      </w:r>
    </w:p>
    <w:p>
      <w:pPr>
        <w:pStyle w:val="Heading1"/>
      </w:pPr>
      <w:r>
        <w:t xml:space="preserve">0 Hinweise zur Verwendung (vor Veröffentlichung löschen)</w:t>
      </w:r>
    </w:p>
    <w:p>
      <w:pPr>
        <w:pStyle w:val="ListParagraph"/>
        <w:numPr>
          <w:ilvl w:val="0"/>
          <w:numId w:val="1"/>
        </w:numPr>
        <w:spacing w:after="100"/>
      </w:pPr>
      <w:r>
        <w:rPr>
          <w:i/>
          <w:iCs/>
          <w:color w:val="6B7280"/>
          <w:sz w:val="20"/>
          <w:szCs w:val="20"/>
        </w:rPr>
        <w:t xml:space="preserve">Kürzen statt ergänzen: Eine Richtlinie, die niemand liest, schützt nicht. Streichen Sie Bausteine, die für Sie nicht passen; die Abschnitte „Freigegebene und verbotene KI-Tools“, „Datenklassen“, „Freigabeprozess“, „Menschliche Kontrolle“ und „Meldewege“ sollten erhalten bleiben.</w:t>
      </w:r>
    </w:p>
    <w:p>
      <w:pPr>
        <w:pStyle w:val="ListParagraph"/>
        <w:numPr>
          <w:ilvl w:val="0"/>
          <w:numId w:val="1"/>
        </w:numPr>
        <w:spacing w:after="100"/>
      </w:pPr>
      <w:r>
        <w:rPr>
          <w:i/>
          <w:iCs/>
          <w:color w:val="6B7280"/>
          <w:sz w:val="20"/>
          <w:szCs w:val="20"/>
        </w:rPr>
        <w:t xml:space="preserve">Details in die Anlagen: Welche Tools erlaubt sind, steht in Anlage A. So lässt sich die Liste aktualisieren, ohne die Richtlinie neu abzustimmen.</w:t>
      </w:r>
    </w:p>
    <w:p>
      <w:pPr>
        <w:pStyle w:val="ListParagraph"/>
        <w:numPr>
          <w:ilvl w:val="0"/>
          <w:numId w:val="1"/>
        </w:numPr>
        <w:spacing w:after="100"/>
      </w:pPr>
      <w:r>
        <w:rPr>
          <w:i/>
          <w:iCs/>
          <w:color w:val="6B7280"/>
          <w:sz w:val="20"/>
          <w:szCs w:val="20"/>
        </w:rPr>
        <w:t xml:space="preserve">Platzhalter: Alles in [eckigen Klammern] ersetzen. „[Verantwortliche Stelle]“ ist je nach Größe z. B. die Geschäftsführung, eine KI-verantwortliche Person oder ein KI-Gremium.</w:t>
      </w:r>
    </w:p>
    <w:p>
      <w:pPr>
        <w:pStyle w:val="ListParagraph"/>
        <w:numPr>
          <w:ilvl w:val="0"/>
          <w:numId w:val="1"/>
        </w:numPr>
        <w:spacing w:after="100"/>
      </w:pPr>
      <w:r>
        <w:rPr>
          <w:i/>
          <w:iCs/>
          <w:color w:val="6B7280"/>
          <w:sz w:val="20"/>
          <w:szCs w:val="20"/>
        </w:rPr>
        <w:t xml:space="preserve">Betriebsrat: Besteht ein Betriebsrat, ist er in der Regel zu beteiligen. § 90 Abs. 1 Nr. 3 BetrVG nennt ausdrücklich die Planung von Arbeitsverfahren einschließlich des Einsatzes von KI; ob ein Mitbestimmungsrecht nach § 87 Abs. 1 Nr. 6 BetrVG greift, ist je Tool zu prüfen; nach § 80 Abs. 3 BetrVG gilt die Hinzuziehung eines Sachverständigen bei der Beurteilung von KI als erforderlich.</w:t>
      </w:r>
    </w:p>
    <w:p>
      <w:pPr>
        <w:pStyle w:val="ListParagraph"/>
        <w:numPr>
          <w:ilvl w:val="0"/>
          <w:numId w:val="1"/>
        </w:numPr>
        <w:spacing w:after="100"/>
      </w:pPr>
      <w:r>
        <w:rPr>
          <w:i/>
          <w:iCs/>
          <w:color w:val="6B7280"/>
          <w:sz w:val="20"/>
          <w:szCs w:val="20"/>
        </w:rPr>
        <w:t xml:space="preserve">Bekanntmachung: Machen Sie die Richtlinie nachweisbar bekannt (Anlage C oder Bestätigung im Lernsystem). Die Einweisung ist zugleich ein Teil Ihrer Maßnahmen zur KI-Kompetenz nach Art. 4 KI-VO.</w:t>
      </w:r>
    </w:p>
    <w:p>
      <w:pPr>
        <w:pStyle w:val="Heading1"/>
        <w:keepNext/>
        <w:pageBreakBefore/>
      </w:pPr>
      <w:r>
        <w:t xml:space="preserve">1 Zweck und Geltungsbereich</w:t>
      </w:r>
    </w:p>
    <w:p>
      <w:pPr>
        <w:spacing w:after="80"/>
      </w:pPr>
      <w:r>
        <w:rPr>
          <w:i/>
          <w:iCs/>
          <w:color w:val="6B7280"/>
          <w:sz w:val="19"/>
          <w:szCs w:val="19"/>
        </w:rPr>
        <w:t xml:space="preserve">Warum: Ohne klaren Geltungsbereich bleibt offen, ob Werkstudierende, Freelancer oder KI-Funktionen in Standardsoftware gemeint sind. Art. 4 KI-VO nennt ausdrücklich auch Personen, die im Auftrag des Unternehmens tätig sind – die Richtlinie sollte sie ebenfalls erfassen. Anknüpfung: Art. 4 KI-VO; Art. 24 DSGVO. (Ausfüllhinweis – vor Freigabe löschen)</w:t>
      </w:r>
    </w:p>
    <w:p>
      <w:pPr>
        <w:spacing w:after="160"/>
      </w:pPr>
      <w:r>
        <w:rPr>
          <w:sz w:val="21"/>
          <w:szCs w:val="21"/>
        </w:rPr>
        <w:t xml:space="preserve">Diese Richtlinie regelt den Einsatz von Systemen der künstlichen Intelligenz (KI) bei der [Unternehmen]. Sie soll es den Beschäftigten ermöglichen, KI produktiv zu nutzen, und zugleich personenbezogene Daten, Geschäftsgeheimnisse und die Rechte Dritter schützen. Sie gilt für alle Beschäftigten, Auszubildenden und Praktikantinnen und Praktikanten sowie für externe Personen, die im Auftrag der [Unternehmen] tätig sind und dabei KI-Systeme nutzen [z. B. Freelancer, Leiharbeitskräfte]. Sie gilt für eigenständige KI-Anwendungen ebenso wie für KI-Funktionen, die in bereits genutzte Software eingebaut sind, und auch auf privaten Geräten, sobald dienstliche Informationen verarbeitet werden.</w:t>
      </w:r>
    </w:p>
    <w:p>
      <w:pPr>
        <w:spacing w:after="80"/>
      </w:pPr>
      <w:r>
        <w:rPr>
          <w:i/>
          <w:iCs/>
          <w:color w:val="6B7280"/>
          <w:sz w:val="19"/>
          <w:szCs w:val="19"/>
        </w:rPr>
        <w:t xml:space="preserve">Optional, falls ein Betriebsrat besteht – an Abschnitt 1 anfügen:</w:t>
      </w:r>
    </w:p>
    <w:p>
      <w:pPr>
        <w:spacing w:after="160"/>
      </w:pPr>
      <w:r>
        <w:rPr>
          <w:sz w:val="21"/>
          <w:szCs w:val="21"/>
        </w:rPr>
        <w:t xml:space="preserve">Der Betriebsrat wurde vor Einführung dieser Richtlinie nach den Vorschriften des Betriebsverfassungsgesetzes beteiligt [Verweis auf Betriebsvereinbarung vom TT.MM.JJJJ, falls abgeschlossen].</w:t>
      </w:r>
    </w:p>
    <w:p>
      <w:pPr>
        <w:pStyle w:val="Heading1"/>
        <w:keepNext/>
      </w:pPr>
      <w:r>
        <w:t xml:space="preserve">2 Begriffe</w:t>
      </w:r>
    </w:p>
    <w:p>
      <w:pPr>
        <w:spacing w:after="80"/>
      </w:pPr>
      <w:r>
        <w:rPr>
          <w:i/>
          <w:iCs/>
          <w:color w:val="6B7280"/>
          <w:sz w:val="19"/>
          <w:szCs w:val="19"/>
        </w:rPr>
        <w:t xml:space="preserve">Warum: Einheitliche Begriffe verhindern, dass jede Abteilung „KI“ anders versteht. Die Richtlinie muss die Definition der KI-Verordnung nicht wörtlich wiederholen, sollte aber auf sie verweisen und die eigenen Begriffe – vor allem „Freigabeliste“ und „Datenklasse“ – festlegen. Anknüpfung: Art. 3 Nr. 1 KI-VO (Begriff „KI-System“). (Ausfüllhinweis – vor Freigabe löschen)</w:t>
      </w:r>
    </w:p>
    <w:p>
      <w:pPr>
        <w:spacing w:after="160"/>
      </w:pPr>
      <w:r>
        <w:rPr>
          <w:sz w:val="21"/>
          <w:szCs w:val="21"/>
        </w:rPr>
        <w:t xml:space="preserve">Im Sinne dieser Richtlinie bezeichnet „KI-System“ ein maschinengestütztes System im Sinne von Art. 3 Nr. 1 der Verordnung (EU) 2024/1689, das – vereinfacht gesagt – aus Eingaben ableitet, wie es Ergebnisse wie Texte, Bilder, Vorhersagen, Empfehlungen oder Entscheidungen erzeugt. „KI-Tool“ ist jede Anwendung oder Funktion, über die Beschäftigte ein KI-System nutzen, einschließlich KI-Funktionen in Bürosoftware, Browser-Erweiterungen und Apps. „Eingabe“ ist jede Information, die einem KI-Tool übergeben wird (Prompts, hochgeladene Dateien, Sprachaufnahmen, Bildschirminhalte). „Ergebnis“ ist jede Ausgabe eines KI-Tools. „Freigabeliste“ ist die Liste in Anlage A, die für jedes Tool den Status Grün, Gelb oder Rot und die zulässigen Datenklassen festlegt. „Datenklasse“ ist die Schutzstufe einer Information nach Anlage B.</w:t>
      </w:r>
    </w:p>
    <w:p>
      <w:pPr>
        <w:pStyle w:val="Heading1"/>
        <w:keepNext/>
      </w:pPr>
      <w:r>
        <w:t xml:space="preserve">3 Freigegebene und verbotene KI-Tools</w:t>
      </w:r>
    </w:p>
    <w:p>
      <w:pPr>
        <w:spacing w:after="80"/>
      </w:pPr>
      <w:r>
        <w:rPr>
          <w:i/>
          <w:iCs/>
          <w:color w:val="6B7280"/>
          <w:sz w:val="19"/>
          <w:szCs w:val="19"/>
        </w:rPr>
        <w:t xml:space="preserve">Warum: Ein Verbot ohne erlaubte Alternative treibt die Nutzung in private Konten. Die Ampel zeigt auf einen Blick, was geht, und lässt sich aktualisieren, ohne die Richtlinie selbst neu abzustimmen. Anknüpfung: Art. 5, 24, 28, 32 DSGVO; Art. 5 KI-VO. (Ausfüllhinweis – vor Freigabe löschen)</w:t>
      </w:r>
    </w:p>
    <w:p>
      <w:pPr>
        <w:spacing w:after="160"/>
      </w:pPr>
      <w:r>
        <w:rPr>
          <w:sz w:val="21"/>
          <w:szCs w:val="21"/>
        </w:rPr>
        <w:t xml:space="preserve">Für dienstliche Zwecke dürfen ausschließlich KI-Tools genutzt werden, die in der Freigabeliste (Anlage A) geführt sind. Grün bedeutet: freigegeben für die dort genannten Datenklassen. Gelb bedeutet: freigegeben mit den Auflagen, die Anlage A für das jeweilige Tool festlegt (z. B. nur bestimmte Zwecke, Teams oder Datenklassen). Rot bedeutet: für dienstliche Zwecke nicht erlaubt. Tools, die nicht in der Liste stehen, gelten als Rot, bis sie im Freigabeprozess (Abschnitt „Freigabeprozess für neue Tools“) geprüft sind. Genutzt werden ausschließlich Konten, die die [Unternehmen] bereitstellt; private Konten sind für dienstliche Inhalte nicht zulässig. KI-Praktiken, die nach Art. 5 der KI-Verordnung verboten sind – etwa die Erkennung von Emotionen von Beschäftigten am Arbeitsplatz –, sind unabhängig vom Tool untersagt. [Verantwortliche Stelle] pflegt die Freigabeliste und gibt Änderungen bekannt.</w:t>
      </w:r>
    </w:p>
    <w:p>
      <w:pPr>
        <w:pStyle w:val="Heading1"/>
        <w:keepNext/>
      </w:pPr>
      <w:r>
        <w:t xml:space="preserve">4 Datenklassen: Was nie eingegeben werden darf</w:t>
      </w:r>
    </w:p>
    <w:p>
      <w:pPr>
        <w:spacing w:after="80"/>
      </w:pPr>
      <w:r>
        <w:rPr>
          <w:i/>
          <w:iCs/>
          <w:color w:val="6B7280"/>
          <w:sz w:val="19"/>
          <w:szCs w:val="19"/>
        </w:rPr>
        <w:t xml:space="preserve">Warum: Beschäftigte können Rechtsgrundlagen nicht vor jedem Prompt prüfen. Datenklassen übersetzen Datenminimierung, Vertraulichkeit und Geheimnisschutz in eine Regel, die sich vor dem Absenden in Sekunden anwenden lässt – und dokumentieren zugleich angemessene Geheimhaltungsmaßnahmen. Anknüpfung: Art. 5, 32 DSGVO; § 2 Nr. 1 b GeschGehG. (Ausfüllhinweis – vor Freigabe löschen)</w:t>
      </w:r>
    </w:p>
    <w:p>
      <w:pPr>
        <w:spacing w:after="160"/>
      </w:pPr>
      <w:r>
        <w:rPr>
          <w:sz w:val="21"/>
          <w:szCs w:val="21"/>
        </w:rPr>
        <w:t xml:space="preserve">Vor jeder Eingabe prüfen Beschäftigte, zu welcher Datenklasse die Information gehört (Anlage B), und nutzen nur Tools, die für diese Klasse freigegeben sind. Klasse 1 (öffentlich) und Klasse 2 (intern) dürfen in alle grün freigegebenen Tools eingegeben werden, in gelbe Tools nur, soweit deren Auflagen es erlauben. Klasse 3 (vertraulich, insbesondere personenbezogene Daten von Kundinnen und Kunden, Beschäftigten und Bewerbenden) darf nur in Tools eingegeben werden, die Anlage A ausdrücklich für Klasse 3 freigibt. Klasse 4 (streng vertraulich) wird nie in KI-Tools eingegeben. Dazu gehören insbesondere Passwörter, Zugangsdaten und API-Schlüssel, Geschäftsgeheimnisse wie [Kalkulationen, Rezepturen, nicht veröffentlichte Produktpläne], Gesundheitsdaten und Inhalte aus Personalakten. Wo möglich, werden Eingaben vorher anonymisiert oder auf das Nötige gekürzt.</w:t>
      </w:r>
    </w:p>
    <w:p>
      <w:pPr>
        <w:spacing w:after="80"/>
      </w:pPr>
      <w:r>
        <w:rPr>
          <w:i/>
          <w:iCs/>
          <w:color w:val="6B7280"/>
          <w:sz w:val="19"/>
          <w:szCs w:val="19"/>
        </w:rPr>
        <w:t xml:space="preserve">Branchenspezifisch ergänzen, z. B.: „Quellcode wird nur in ausdrücklich freigegebene Code-Assistenten eingegeben.“ oder „Patienten- und Gesundheitsdaten gehören immer zu Klasse 4.“</w:t>
      </w:r>
    </w:p>
    <w:p>
      <w:pPr>
        <w:spacing w:after="160"/>
      </w:pPr>
      <w:r>
        <w:rPr>
          <w:sz w:val="21"/>
          <w:szCs w:val="21"/>
        </w:rPr>
        <w:t xml:space="preserve">[…]</w:t>
      </w:r>
    </w:p>
    <w:p>
      <w:pPr>
        <w:pStyle w:val="Heading1"/>
        <w:keepNext/>
      </w:pPr>
      <w:r>
        <w:t xml:space="preserve">5 Freigabeprozess für neue Tools</w:t>
      </w:r>
    </w:p>
    <w:p>
      <w:pPr>
        <w:spacing w:after="80"/>
      </w:pPr>
      <w:r>
        <w:rPr>
          <w:i/>
          <w:iCs/>
          <w:color w:val="6B7280"/>
          <w:sz w:val="19"/>
          <w:szCs w:val="19"/>
        </w:rPr>
        <w:t xml:space="preserve">Warum: Neue KI-Tools und neue KI-Funktionen in vorhandener Software kommen laufend hinzu. Ein schlanker, schneller Freigabeweg ist der wirksamste Schutz gegen Schatten-KI – und der Ort, an dem Datenschutz, Informationssicherheit und Mitbestimmung zusammenkommen. Anknüpfung: Art. 28, 32, 35, 44 ff. DSGVO; Art. 26 KI-VO; §§ 87, 90 BetrVG. (Ausfüllhinweis – vor Freigabe löschen)</w:t>
      </w:r>
    </w:p>
    <w:p>
      <w:pPr>
        <w:spacing w:after="160"/>
      </w:pPr>
      <w:r>
        <w:rPr>
          <w:sz w:val="21"/>
          <w:szCs w:val="21"/>
        </w:rPr>
        <w:t xml:space="preserve">Wer ein neues KI-Tool oder eine neue KI-Funktion dienstlich nutzen möchte, stellt einen Antrag bei [Stelle oder Postfach] und nennt Zweck, Nutzerkreis, erwartete Datenklassen und Anbieter. [Verantwortliche Stelle] prüft gemeinsam mit Datenschutz und Informationssicherheit insbesondere: die Vertragsgrundlage und den Auftragsverarbeitungsvertrag (Art. 28 DSGVO), den Speicherort und mögliche Übermittlungen in Drittländer (Art. 44 ff. DSGVO), ob Eingaben zum Training des Anbieters verwendet werden, das Zugriffs- und Löschkonzept, ob eine Datenschutz-Folgenabschätzung erforderlich ist (Art. 35 DSGVO) und ob das System nach der KI-Verordnung als Hochrisiko-KI-System einzustufen ist. Besteht ein Betriebsrat, wird er vor der Einführung beteiligt. Das Ergebnis – Grün, Gelb mit Auflagen oder Rot – wird in Anlage A und im KI-Register dokumentiert. Angestrebt wird eine Entscheidung innerhalb von [10] Arbeitstagen.</w:t>
      </w:r>
    </w:p>
    <w:p>
      <w:pPr>
        <w:pStyle w:val="Heading1"/>
        <w:keepNext/>
      </w:pPr>
      <w:r>
        <w:t xml:space="preserve">6 Kennzeichnung KI-generierter Inhalte</w:t>
      </w:r>
    </w:p>
    <w:p>
      <w:pPr>
        <w:spacing w:after="80"/>
      </w:pPr>
      <w:r>
        <w:rPr>
          <w:i/>
          <w:iCs/>
          <w:color w:val="6B7280"/>
          <w:sz w:val="19"/>
          <w:szCs w:val="19"/>
        </w:rPr>
        <w:t xml:space="preserve">Warum: Seit dem 2. August 2026 gelten die Transparenzpflichten aus Art. 50 KI-VO. Für Unternehmen, die KI nutzen, betrifft das vor allem Deepfakes und veröffentlichte KI-Texte zu Angelegenheiten von öffentlichem Interesse. Die Richtlinie übersetzt das in einfache Regeln – und kann für Kundenkommunikation bewusst weiter gehen. Anknüpfung: Art. 50 KI-VO (seit 2. August 2026). (Ausfüllhinweis – vor Freigabe löschen)</w:t>
      </w:r>
    </w:p>
    <w:p>
      <w:pPr>
        <w:spacing w:after="160"/>
      </w:pPr>
      <w:r>
        <w:rPr>
          <w:sz w:val="21"/>
          <w:szCs w:val="21"/>
        </w:rPr>
        <w:t xml:space="preserve">Bild-, Audio- oder Videoinhalte, die mit KI erzeugt oder verändert wurden und echte Personen, Orte oder Ereignisse so darstellen, dass sie fälschlich als echt erscheinen könnten (Deepfakes), werden bei der Veröffentlichung als KI-generiert offengelegt. Mit KI erzeugte oder bearbeitete Texte, die veröffentlicht werden, um die Öffentlichkeit über Angelegenheiten von öffentlichem Interesse zu informieren, werden ebenfalls offengelegt – es sei denn, sie wurden von einem Menschen geprüft oder redaktionell kontrolliert und eine Person oder die [Unternehmen] trägt die redaktionelle Verantwortung. Darüber hinaus gilt: [Kundenkommunikation, die überwiegend mit KI erstellt wurde, wird vor dem Versand von einer verantwortlichen Person geprüft.] Formulierungen für Hinweise stellt [Stelle] bereit.</w:t>
      </w:r>
    </w:p>
    <w:p>
      <w:pPr>
        <w:pStyle w:val="Heading1"/>
        <w:keepNext/>
      </w:pPr>
      <w:r>
        <w:t xml:space="preserve">7 Schulung und KI-Kompetenz</w:t>
      </w:r>
    </w:p>
    <w:p>
      <w:pPr>
        <w:spacing w:after="80"/>
      </w:pPr>
      <w:r>
        <w:rPr>
          <w:i/>
          <w:iCs/>
          <w:color w:val="6B7280"/>
          <w:sz w:val="19"/>
          <w:szCs w:val="19"/>
        </w:rPr>
        <w:t xml:space="preserve">Warum: Art. 4 KI-VO verlangt von Anbietern und Betreibern Maßnahmen zur Unterstützung der KI-Kompetenz ihres Personals und anderer Personen, die in ihrem Auftrag tätig sind. Ein bestimmtes Niveau muss nicht für jede Person garantiert werden – die Maßnahmen sollten aber nachvollziehbar sein. Die Richtlinie legt fest, welche. Anknüpfung: Art. 4 KI-VO i. d. F. der VO (EU) 2026/1744. (Ausfüllhinweis – vor Freigabe löschen)</w:t>
      </w:r>
    </w:p>
    <w:p>
      <w:pPr>
        <w:spacing w:after="160"/>
      </w:pPr>
      <w:r>
        <w:rPr>
          <w:sz w:val="21"/>
          <w:szCs w:val="21"/>
        </w:rPr>
        <w:t xml:space="preserve">Bevor Beschäftigte KI-Tools dienstlich nutzen, nehmen sie an einer Einweisung zu dieser Richtlinie teil [Format, z. B. E-Learning von 30 Minuten]. Wer KI-Tools regelmäßig oder für Aufgaben mit erhöhtem Risiko nutzt [z. B. Personal, Kundenkommunikation, Softwareentwicklung], erhält eine vertiefende Schulung zu Funktionsweise und typischen Fehlern von KI, zum Datenschutz und zu den Pflichten aus dieser Richtlinie. Teilnahme und Kenntnisnahme der Richtlinie werden dokumentiert. Die Inhalte werden aktualisiert, wenn sich die Richtlinie oder die freigegebenen Tools wesentlich ändern.</w:t>
      </w:r>
    </w:p>
    <w:p>
      <w:pPr>
        <w:pStyle w:val="Heading1"/>
        <w:keepNext/>
      </w:pPr>
      <w:r>
        <w:t xml:space="preserve">8 Menschliche Kontrolle der Ergebnisse</w:t>
      </w:r>
    </w:p>
    <w:p>
      <w:pPr>
        <w:spacing w:after="80"/>
      </w:pPr>
      <w:r>
        <w:rPr>
          <w:i/>
          <w:iCs/>
          <w:color w:val="6B7280"/>
          <w:sz w:val="19"/>
          <w:szCs w:val="19"/>
        </w:rPr>
        <w:t xml:space="preserve">Warum: KI-Ergebnisse klingen überzeugend, auch wenn sie falsch sind. Die Verantwortung für ein Arbeitsergebnis bleibt bei der Person, die es verwendet. Für Hochrisiko-KI-Systeme kommen eigene Betreiberpflichten hinzu, die an diese Grundregel anknüpfen. Anknüpfung: Art. 5 DSGVO (Richtigkeit); Art. 26 KI-VO bei Hochrisiko-KI. (Ausfüllhinweis – vor Freigabe löschen)</w:t>
      </w:r>
    </w:p>
    <w:p>
      <w:pPr>
        <w:spacing w:after="160"/>
      </w:pPr>
      <w:r>
        <w:rPr>
          <w:sz w:val="21"/>
          <w:szCs w:val="21"/>
        </w:rPr>
        <w:t xml:space="preserve">KI-Ergebnisse sind Entwürfe. Wer ein Ergebnis verwendet, prüft es vorher auf sachliche Richtigkeit, Vollständigkeit, Aktualität und Angemessenheit und trägt dafür dieselbe Verantwortung wie für eigene Arbeit. Zahlen, Zitate, Quellenangaben und rechtliche Aussagen werden an der Originalquelle überprüft. Entscheidungen, die Personen erheblich betreffen [z. B. Einstellungen, Leistungsbeurteilungen, Vertragsentscheidungen], werden nicht allein auf Grundlage eines KI-Ergebnisses getroffen; eine fachlich zuständige Person entscheidet und dokumentiert die Gründe. Für KI-Systeme, die als Hochrisiko-KI-System eingestuft sind, gelten zusätzlich die im KI-Register festgelegten Aufsichtsmaßnahmen.</w:t>
      </w:r>
    </w:p>
    <w:p>
      <w:pPr>
        <w:pStyle w:val="Heading1"/>
        <w:keepNext/>
      </w:pPr>
      <w:r>
        <w:t xml:space="preserve">9 Urheberrecht, Quellen und Rechte Dritter</w:t>
      </w:r>
    </w:p>
    <w:p>
      <w:pPr>
        <w:spacing w:after="80"/>
      </w:pPr>
      <w:r>
        <w:rPr>
          <w:i/>
          <w:iCs/>
          <w:color w:val="6B7280"/>
          <w:sz w:val="19"/>
          <w:szCs w:val="19"/>
        </w:rPr>
        <w:t xml:space="preserve">Warum: Ob ein KI-Ergebnis geschützt ist oder Rechte Dritter verletzt, lässt sich nicht pauschal beantworten. Die Richtlinie regelt deshalb das Verhalten: was hochgeladen werden darf und was vor einer Veröffentlichung geprüft wird. Anknüpfung: Urheber-, Marken- und Persönlichkeitsrechte; Nutzungsbedingungen der Anbieter. (Ausfüllhinweis – vor Freigabe löschen)</w:t>
      </w:r>
    </w:p>
    <w:p>
      <w:pPr>
        <w:spacing w:after="160"/>
      </w:pPr>
      <w:r>
        <w:rPr>
          <w:sz w:val="21"/>
          <w:szCs w:val="21"/>
        </w:rPr>
        <w:t xml:space="preserve">Fremde urheberrechtlich geschützte Inhalte [z. B. Fachartikel, Bilder, Software Dritter] werden nur in KI-Tools hochgeladen, wenn die Nutzungsrechte das zulassen. Ergebnisse, die veröffentlicht oder an Kundinnen und Kunden weitergegeben werden, werden auf erkennbare Übernahmen fremder Werke, Marken oder Abbildungen realer Personen geprüft. Prompts, die gezielt Werke oder den unverwechselbaren Stil bestimmter lebender Künstlerinnen und Künstler oder fremde Marken nachahmen sollen, werden für veröffentlichte Inhalte nicht verwendet. Bei Code-Vorschlägen werden Lizenzhinweise beachtet. Was die Nutzungsbedingungen eines Tools zu Rechten an Ergebnissen regeln, ist in Anlage A vermerkt.</w:t>
      </w:r>
    </w:p>
    <w:p>
      <w:pPr>
        <w:pStyle w:val="Heading1"/>
        <w:keepNext/>
      </w:pPr>
      <w:r>
        <w:t xml:space="preserve">10 Meldewege bei Vorfällen</w:t>
      </w:r>
    </w:p>
    <w:p>
      <w:pPr>
        <w:spacing w:after="80"/>
      </w:pPr>
      <w:r>
        <w:rPr>
          <w:i/>
          <w:iCs/>
          <w:color w:val="6B7280"/>
          <w:sz w:val="19"/>
          <w:szCs w:val="19"/>
        </w:rPr>
        <w:t xml:space="preserve">Warum: Wer versehentlich Kundendaten in ein falsches Tool kopiert hat, muss das sofort und ohne Angst melden können. Je früher ein Vorfall bekannt ist, desto mehr lässt sich begrenzen – bei Datenschutzverletzungen können zudem kurze gesetzliche Meldefristen laufen. Anknüpfung: Art. 24, 32 DSGVO. (Ausfüllhinweis – vor Freigabe löschen)</w:t>
      </w:r>
    </w:p>
    <w:p>
      <w:pPr>
        <w:spacing w:after="160"/>
      </w:pPr>
      <w:r>
        <w:rPr>
          <w:sz w:val="21"/>
          <w:szCs w:val="21"/>
        </w:rPr>
        <w:t xml:space="preserve">Beschäftigte melden unverzüglich an [Name/Funktion, E-Mail]: die Eingabe von Daten der Klasse 3 oder 4 in ein dafür nicht freigegebenes Tool; KI-Ergebnisse mit diskriminierenden, gefährlichen oder offensichtlich rechtswidrigen Inhalten; den Verdacht, dass ein KI-Tool vertrauliche Informationen preisgibt oder manipuliert wurde; und Fehlfunktionen von KI-Systemen, die Kundinnen und Kunden oder Beschäftigte betreffen. Die Meldung enthält möglichst Datum, Tool, Art der Daten und bereits ergriffene Schritte. Bei einer möglichen Datenschutzverletzung wird die oder der Datenschutzbeauftragte sofort einbezogen. [Wer einen eigenen Fehler zeitnah meldet, hat deswegen keine Nachteile zu befürchten.]</w:t>
      </w:r>
    </w:p>
    <w:p>
      <w:pPr>
        <w:pStyle w:val="Heading1"/>
        <w:keepNext/>
      </w:pPr>
      <w:r>
        <w:t xml:space="preserve">11 Verantwortlichkeiten</w:t>
      </w:r>
    </w:p>
    <w:p>
      <w:pPr>
        <w:spacing w:after="80"/>
      </w:pPr>
      <w:r>
        <w:rPr>
          <w:i/>
          <w:iCs/>
          <w:color w:val="6B7280"/>
          <w:sz w:val="19"/>
          <w:szCs w:val="19"/>
        </w:rPr>
        <w:t xml:space="preserve">Warum: Ohne Zuständigkeit veraltet die Freigabeliste innerhalb weniger Monate. Klare Rollen sind außerdem die Grundlage, an die spätere Betreiberpflichten für Hochrisiko-KI-Systeme anknüpfen. Anknüpfung: Art. 24 DSGVO; Art. 4, 26 KI-VO. (Ausfüllhinweis – vor Freigabe löschen)</w:t>
      </w:r>
    </w:p>
    <w:p>
      <w:pPr>
        <w:spacing w:after="160"/>
      </w:pPr>
      <w:r>
        <w:rPr>
          <w:sz w:val="21"/>
          <w:szCs w:val="21"/>
        </w:rPr>
        <w:t xml:space="preserve">[Verantwortliche Stelle] ist für diese Richtlinie, die Freigabeliste und das KI-Register verantwortlich. Führungskräfte stellen sicher, dass ihre Teams die Richtlinie kennen und nur freigegebene Tools nutzen. Die IT stellt Konten bereit und setzt technische Vorgaben um [z. B. Single Sign-on, Sperrung nicht freigegebener Dienste]. Die oder der Datenschutzbeauftragte berät bei Freigaben und Vorfällen. Fachbereiche, die ein KI-System einsetzen, benennen eine verantwortliche Person, die den Eintrag im KI-Register aktuell hält. Ansprechpartner für Fragen zu dieser Richtlinie: [Name/Funktion, E-Mail].</w:t>
      </w:r>
    </w:p>
    <w:p>
      <w:pPr>
        <w:pStyle w:val="Heading1"/>
        <w:keepNext/>
      </w:pPr>
      <w:r>
        <w:t xml:space="preserve">12 Verstöße und Folgen</w:t>
      </w:r>
    </w:p>
    <w:p>
      <w:pPr>
        <w:spacing w:after="80"/>
      </w:pPr>
      <w:r>
        <w:rPr>
          <w:i/>
          <w:iCs/>
          <w:color w:val="6B7280"/>
          <w:sz w:val="19"/>
          <w:szCs w:val="19"/>
        </w:rPr>
        <w:t xml:space="preserve">Warum: Eine Richtlinie ohne Folgen wird nicht ernst genommen; eine Richtlinie, die nur droht, verhindert ehrliche Meldungen. Sinnvoll ist eine abgestufte Reaktion. Welche arbeitsrechtlichen Maßnahmen im Einzelfall möglich sind, sollten Sie arbeitsrechtlich prüfen lassen. Anknüpfung: Arbeitsrecht – im Einzelfall prüfen lassen. (Ausfüllhinweis – vor Freigabe löschen)</w:t>
      </w:r>
    </w:p>
    <w:p>
      <w:pPr>
        <w:spacing w:after="160"/>
      </w:pPr>
      <w:r>
        <w:rPr>
          <w:sz w:val="21"/>
          <w:szCs w:val="21"/>
        </w:rPr>
        <w:t xml:space="preserve">Verstöße gegen diese Richtlinie werden im Einzelfall bewertet. Im Vordergrund stehen die Begrenzung möglicher Schäden, die Aufklärung des Sachverhalts und die Vermeidung von Wiederholungen [z. B. Nachschulung, Anpassung von Berechtigungen]. Vorsätzliche oder wiederholte Verstöße können arbeitsrechtliche Folgen haben. Für externe Personen gelten die vertraglichen Regelungen.</w:t>
      </w:r>
    </w:p>
    <w:p>
      <w:pPr>
        <w:pStyle w:val="Heading1"/>
        <w:keepNext/>
      </w:pPr>
      <w:r>
        <w:t xml:space="preserve">13 Überprüfung und Aktualisierung</w:t>
      </w:r>
    </w:p>
    <w:p>
      <w:pPr>
        <w:spacing w:after="80"/>
      </w:pPr>
      <w:r>
        <w:rPr>
          <w:i/>
          <w:iCs/>
          <w:color w:val="6B7280"/>
          <w:sz w:val="19"/>
          <w:szCs w:val="19"/>
        </w:rPr>
        <w:t xml:space="preserve">Warum: KI-Tools, Vertragsbedingungen und Rechtslage ändern sich schneller als die meisten Unternehmensrichtlinien. Die DSGVO verlangt, technische und organisatorische Maßnahmen erforderlichenfalls zu überprüfen und zu aktualisieren – ein fester Rhythmus macht das planbar. Anknüpfung: Art. 24 Abs. 1 DSGVO. (Ausfüllhinweis – vor Freigabe löschen)</w:t>
      </w:r>
    </w:p>
    <w:p>
      <w:pPr>
        <w:spacing w:after="160"/>
      </w:pPr>
      <w:r>
        <w:rPr>
          <w:sz w:val="21"/>
          <w:szCs w:val="21"/>
        </w:rPr>
        <w:t xml:space="preserve">[Verantwortliche Stelle] überprüft diese Richtlinie und die Freigabeliste [mindestens einmal jährlich] sowie anlassbezogen, insbesondere bei neuen gesetzlichen Vorgaben, wesentlichen Änderungen freigegebener Tools, nach Vorfällen und bei neuen Einsatzzwecken. Änderungen der Freigabeliste können ohne Änderung der Richtlinie erfolgen und werden über [Kanal, z. B. Intranet] bekannt gegeben. Jede Fassung erhält eine Versionsnummer und wird in der Änderungshistorie dokumentiert. Diese Fassung gilt ab [Datum].</w:t>
      </w:r>
    </w:p>
    <w:p>
      <w:pPr>
        <w:pStyle w:val="Heading1"/>
        <w:pageBreakBefore/>
      </w:pPr>
      <w:r>
        <w:t xml:space="preserve">Anlage A – Tool-Freigabeliste</w:t>
      </w:r>
    </w:p>
    <w:p>
      <w:pPr>
        <w:spacing w:after="80"/>
      </w:pPr>
      <w:r>
        <w:rPr>
          <w:i/>
          <w:iCs/>
          <w:color w:val="6B7280"/>
          <w:sz w:val="19"/>
          <w:szCs w:val="19"/>
        </w:rPr>
        <w:t xml:space="preserve">Die kursiven Zeilen sind Beispiele für Tool-Kategorien, keine Bewertung bestimmter Anbieter – ersetzen oder löschen. Nicht gelistete Tools gelten als Rot. Datenklassen siehe Anlage B.</w:t>
      </w:r>
    </w:p>
    <w:p>
      <w:pPr>
        <w:spacing w:after="120"/>
      </w:pPr>
      <w:r>
        <w:rPr>
          <w:color w:val="6B7280"/>
          <w:sz w:val="19"/>
          <w:szCs w:val="19"/>
        </w:rPr>
        <w:t xml:space="preserve">Stand der Liste: [TT.MM.JJJJ] · gepflegt von: [Verantwortliche Stelle]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069"/>
        <w:gridCol w:w="1317"/>
        <w:gridCol w:w="1317"/>
        <w:gridCol w:w="1129"/>
        <w:gridCol w:w="3574"/>
      </w:tblGrid>
      <w:tr>
        <w:trPr>
          <w:tblHeader/>
        </w:trPr>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Tool</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Anbieter</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Status (Grün / Gelb / Rot)</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Erlaubte Datenklassen</w:t>
            </w:r>
          </w:p>
        </w:tc>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Auflagen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Chat-Assistent mit Unternehmenslizenz (Firmenkonto, Single Sign-on)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D1FAE5" w:color="auto" w:val="clear"/>
            <w:tcMar>
              <w:top w:type="dxa" w:w="60"/>
              <w:left w:type="dxa" w:w="90"/>
              <w:bottom w:type="dxa" w:w="60"/>
              <w:right w:type="dxa" w:w="90"/>
            </w:tcMar>
          </w:tcPr>
          <w:p>
            <w:r>
              <w:rPr>
                <w:b w:val="false"/>
                <w:bCs w:val="false"/>
                <w:i/>
                <w:iCs/>
                <w:color w:val="475569"/>
                <w:sz w:val="19"/>
                <w:szCs w:val="19"/>
              </w:rPr>
              <w:t xml:space="preserve">Grün</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AVV liegt vor, Nutzung der Eingaben zum Training vertraglich ausgeschlossen bzw. deaktiviert, Speicherort geprüft</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KI-Funktionen in der freigegebenen Bürosoftware (Zusammenfassen, Formulieren)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D1FAE5" w:color="auto" w:val="clear"/>
            <w:tcMar>
              <w:top w:type="dxa" w:w="60"/>
              <w:left w:type="dxa" w:w="90"/>
              <w:bottom w:type="dxa" w:w="60"/>
              <w:right w:type="dxa" w:w="90"/>
            </w:tcMar>
          </w:tcPr>
          <w:p>
            <w:r>
              <w:rPr>
                <w:b w:val="false"/>
                <w:bCs w:val="false"/>
                <w:i/>
                <w:iCs/>
                <w:color w:val="475569"/>
                <w:sz w:val="19"/>
                <w:szCs w:val="19"/>
              </w:rPr>
              <w:t xml:space="preserve">Grün</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Nur im Firmen-Tenant; neue KI-Funktionen erst nutzen, wenn die IT sie bekannt gegeben hat</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KI-Übersetzer mit Business-Konto</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Gelb</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1–2</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Keine Verträge und keine personenbezogenen Daten; Fachübersetzungen vor Versand gegenlesen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Code-Assistent in der Entwicklungsumgebung</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Gelb</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1–2</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Keine Secrets, Zugangsdaten oder Kundendaten im Kontext; Vorschläge im Review prüfen, Lizenzhinweise beachten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Bildgenerator</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Gelb</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Nur für Entwürfe oder gekennzeichnete Veröffentlichungen; keine realen Personen nachbilden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Meeting-Assistent mit Transkription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Gelb</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 nach Einzelfreigabe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Vorab ankündigen, Widerspruch ermöglichen; vor Einführung Beteiligung des Betriebsrats prüfen (§ 87 Abs. 1 Nr. 6 BetrVG)</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Gratis-Version eines Chat-Assistenten mit Privatkonto</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Rot</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Keine dienstliche Nutzung; stattdessen den freigegebenen Assistenten nutzen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Browser-Erweiterungen mit KI, die Seiteninhalte mitlesen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Rot</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Nur nach Einzelfreigabe durch die IT</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Tools zur Emotionserkennung bei Beschäftigten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[Anbieter]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Rot</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Verbotene Praktik nach Art. 5 KI-VO (von engen Ausnahmen abgesehen)</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pStyle w:val="Heading1"/>
        <w:pageBreakBefore/>
      </w:pPr>
      <w:r>
        <w:t xml:space="preserve">Anlage B – Datenklassen</w:t>
      </w:r>
    </w:p>
    <w:p>
      <w:pPr>
        <w:spacing w:after="80"/>
      </w:pPr>
      <w:r>
        <w:rPr>
          <w:i/>
          <w:iCs/>
          <w:color w:val="6B7280"/>
          <w:sz w:val="19"/>
          <w:szCs w:val="19"/>
        </w:rPr>
        <w:t xml:space="preserve">Ergänzen Sie die Beispiele um typische Informationen aus Ihrem Unternehmen. Im Zweifel gilt die höhere Klasse.</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47"/>
        <w:gridCol w:w="1599"/>
        <w:gridCol w:w="4139"/>
        <w:gridCol w:w="2822"/>
      </w:tblGrid>
      <w:tr>
        <w:trPr>
          <w:tblHeader/>
        </w:trPr>
        <w:tc>
          <w:tcPr>
            <w:tcW w:type="pct" w:w="4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Klasse</w:t>
            </w:r>
          </w:p>
        </w:tc>
        <w:tc>
          <w:tcPr>
            <w:tcW w:type="pct" w:w="8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Bezeichnung</w:t>
            </w:r>
          </w:p>
        </w:tc>
        <w:tc>
          <w:tcPr>
            <w:tcW w:type="pct" w:w="2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Beispiele</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Regel für KI-Tools</w:t>
            </w:r>
          </w:p>
        </w:tc>
      </w:tr>
      <w:tr>
        <w:trPr>
          <w:cantSplit/>
        </w:trPr>
        <w:tc>
          <w:tcPr>
            <w:tcW w:type="pct" w:w="45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val="false"/>
                <w:bCs w:val="false"/>
                <w:sz w:val="19"/>
                <w:szCs w:val="19"/>
              </w:rPr>
              <w:t xml:space="preserve">1</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Öffentlich</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Veröffentlichte Website- und Produkttexte, Pressemitteilungen, öffentlich zugängliche Fachinformationen</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 allen grünen und gelben Tools erlaubt</w:t>
            </w:r>
          </w:p>
        </w:tc>
      </w:tr>
      <w:tr>
        <w:trPr>
          <w:cantSplit/>
        </w:trPr>
        <w:tc>
          <w:tcPr>
            <w:tcW w:type="pct" w:w="45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val="false"/>
                <w:bCs w:val="false"/>
                <w:sz w:val="19"/>
                <w:szCs w:val="19"/>
              </w:rPr>
              <w:t xml:space="preserve">2</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Allgemeine Prozessbeschreibungen, interne Präsentationen ohne Personen- oder Kundenbezug, Textentwürfe ohne vertrauliche Inhalte</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 grünen Tools erlaubt, in gelben nur laut Auflage</w:t>
            </w:r>
          </w:p>
        </w:tc>
      </w:tr>
      <w:tr>
        <w:trPr>
          <w:cantSplit/>
        </w:trPr>
        <w:tc>
          <w:tcPr>
            <w:tcW w:type="pct" w:w="45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sz w:val="19"/>
                <w:szCs w:val="19"/>
              </w:rPr>
              <w:t xml:space="preserve">3</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Vertraulich</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Personenbezogene Daten von Kundinnen und Kunden, Beschäftigten und Bewerbenden, Verträge, Angebote, nicht veröffentlichte Finanzzahlen</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Nur in Tools, die Anlage A ausdrücklich für Klasse 3 freigibt (u. a. mit AVV)</w:t>
            </w:r>
          </w:p>
        </w:tc>
      </w:tr>
      <w:tr>
        <w:trPr>
          <w:cantSplit/>
        </w:trPr>
        <w:tc>
          <w:tcPr>
            <w:tcW w:type="pct" w:w="45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sz w:val="19"/>
                <w:szCs w:val="19"/>
              </w:rPr>
              <w:t xml:space="preserve">4</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Streng vertraulich</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Passwörter, Zugangsdaten, API-Schlüssel, Geschäftsgeheimnisse, Gesundheitsdaten, Personalakten, Unterlagen aus laufenden Rechtsstreitigkeiten</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Nie in KI-Tools eingeben</w:t>
            </w:r>
          </w:p>
        </w:tc>
      </w:tr>
    </w:tbl>
    <w:p>
      <w:pPr>
        <w:pStyle w:val="Heading1"/>
        <w:pageBreakBefore/>
      </w:pPr>
      <w:r>
        <w:t xml:space="preserve">Anlage C – Kenntnisnahme</w:t>
      </w:r>
    </w:p>
    <w:p>
      <w:pPr>
        <w:spacing w:after="160"/>
      </w:pPr>
      <w:r>
        <w:rPr>
          <w:sz w:val="21"/>
          <w:szCs w:val="21"/>
        </w:rPr>
        <w:t xml:space="preserve">Ich habe die KI-Nutzungsrichtlinie der [Unternehmen] in der Version [x.y] erhalten, gelesen und an der Einweisung teilgenommen. Fragen kann ich an [Name/Funktion, E-Mail] richten.</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34"/>
        <w:gridCol w:w="2069"/>
        <w:gridCol w:w="1505"/>
        <w:gridCol w:w="1129"/>
        <w:gridCol w:w="2069"/>
      </w:tblGrid>
      <w:tr>
        <w:trPr>
          <w:tblHeader/>
        </w:trPr>
        <w:tc>
          <w:tcPr>
            <w:tcW w:type="pct" w:w="1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Name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Abteilung</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Unterschrift</w:t>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sectPr>
      <w:headerReference w:type="default" r:id="rId6"/>
      <w:headerReference w:type="first" r:id="rId7"/>
      <w:footerReference w:type="default" r:id="rId8"/>
      <w:footerReference w:type="first" r:id="rId9"/>
      <w:pgSz w:w="11906" w:h="16838" w:orient="portrait"/>
      <w:pgMar w:top="1300" w:right="1250" w:bottom="1200" w:left="125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SimpleAct-Vorlage KI-Richtlinie · Stand 4. Oktober 2026 ·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KI-Nutzungsrichtlinie · [Unternehmen] · intern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de-DE"/>
      </w:rPr>
    </w:rPrDefault>
    <w:pPrDefault>
      <w:pPr>
        <w:spacing w:line="276"/>
      </w:pPr>
    </w:pPrDefault>
  </w:docDefaults>
  <w:style w:type="paragraph" w:styleId="Normal" w:default="1">
    <w:name w:val="Normal"/>
    <w:qFormat/>
  </w:style>
  <w:style w:type="paragraph" w:styleId="Title">
    <w:name w:val="Title"/>
    <w:basedOn w:val="Normal"/>
    <w:next w:val="Normal"/>
    <w:qFormat/>
    <w:pPr>
      <w:spacing w:after="160"/>
    </w:pPr>
    <w:rPr>
      <w:rFonts w:ascii="Calibri" w:cs="Calibri" w:eastAsia="Calibri" w:hAnsi="Calibri"/>
      <w:b/>
      <w:bCs/>
      <w:color w:val="16181D"/>
      <w:sz w:val="36"/>
      <w:szCs w:val="36"/>
    </w:rPr>
  </w:style>
  <w:style w:type="paragraph" w:styleId="Heading1">
    <w:name w:val="Heading 1"/>
    <w:basedOn w:val="Normal"/>
    <w:next w:val="Normal"/>
    <w:qFormat/>
    <w:pPr>
      <w:keepNext/>
      <w:spacing w:after="100" w:before="320"/>
    </w:pPr>
    <w:rPr>
      <w:rFonts w:ascii="Calibri" w:cs="Calibri" w:eastAsia="Calibri" w:hAnsi="Calibri"/>
      <w:b/>
      <w:bCs/>
      <w:color w:val="16181D"/>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KI-Nutzungsrichtlinie – Vorlage</dc:title>
  <dc:subject>Muster einer KI-Nutzungsrichtlinie für Unternehmen mit Tool-Freigabeliste und Datenklassen</dc:subject>
  <dc:creator>SimpleAct</dc:creator>
  <cp:keywords>KI-Richtlinie, KI-Nutzungsrichtlinie, Vorlage, Muster, Tool-Freigabeliste, Datenklassen, KI-Verordnung, Art. 4 KI-VO, DSGVO, Betriebsrat</cp:keywords>
  <dc:description>Diese Vorlage ist ein Muster und eine Arbeitshilfe von SimpleAct, keine Rechtsberatung. Eine KI-Richtlinie ist gesetzlich nicht ausdrücklich vorgeschrieben; die Vorlage verweist auf Vorschriften, an die einzelne Regeln anknüpfen. Passen Sie Inhalte und [Platzhalter] an Ihr Unternehmen an, lassen Sie die Richtlinie vor der Einführung arbeitsrechtlich prüfen und stimmen Sie sie mit dem Betriebsrat ab, falls einer besteht. Grau-kursive Ausfüllhinweise vor der Freigabe löschen.</dc:description>
  <cp:lastModifiedBy>SimpleAct</cp:lastModifiedBy>
  <cp:revision>1</cp:revision>
  <dcterms:created xsi:type="dcterms:W3CDTF">2026-10-04T09:18:46.869Z</dcterms:created>
  <dcterms:modified xsi:type="dcterms:W3CDTF">2026-10-04T09:18:46.870Z</dcterms:modified>
  <dc:language>de-DE</dc:language>
</cp:coreProperties>
</file>

<file path=docProps/custom.xml><?xml version="1.0" encoding="utf-8"?>
<Properties xmlns="http://schemas.openxmlformats.org/officeDocument/2006/custom-properties" xmlns:vt="http://schemas.openxmlformats.org/officeDocument/2006/docPropsVTypes"/>
</file>